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both May 2, 2025 and May 22, 2025, we received $100,000 loans from Abuse Deterrent Pharma, LLC (“AD Pharma”). These loans combined with previous loans made to the Company and combined with the $2,319,279 under the November 10, 2022 Amended Consolidated and Restated Secured Promissory Note, now has a principal balance of $7,994,279 with accrued interest of approximately $683,000 as of May 29, 2025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will be used to meet day-to-day operation activity. There can be no assurance we will be successful in receiving additional financing. In the absence of the receipt of additional financing by mid-June 2025,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29, 2025, Acura Pharmaceuticals, Inc. (“we” “Acura” or the “Company”), received the executed agreement to further amend the June 28, 2019 License, Development and Commercialization Agreement (“Amended Agreement”) with AD Pharma, for the development of LTX-03 (hydrocodone bitartrate with acetaminophen) immediate-release tablets utilizing Acura’s patented LIMITx technology which addresses the consequences of excess oral administration of opioid tablets, the most prevalent route of opioid overdose and abuse.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#12 has an effective date of May 29, 2025 and extends the FDA’s acceptance date of a New Drug Application (“NDA”) for LTX-03 from May 31, 2025 to December 31, 2025 (“NDA Acceptance Date”) (“Amended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 Pharma may terminate the Amended Agreement at any time. Additionally, if the NDA for LTX-03 is not accepted by the FDA by the NDA Acceptance Date, AD Pharma may terminate the Amended Agreement and take ownership of the intellectual property rights of LTX-03 from the Company. Should AD Pharma choose not to exercise this option to terminate the Amended Agreement and the NDA for LTX-03 is subsequently accepted by the FDA, such option to terminate the Amended Agreement expires.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Amended Agreement with AD Pharma under Item 1.01 of this Current Report on Form 8-K shall not be deemed an acknowledgment that the Amended Agreement is a material agreement not made, or deemed not to be made,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29, 2025, we received the executed agreement to further amend the November 10, 2022 Amended, Consolidated and Restated Secured Promissory Note (the “Amended Note”) with AD Pharma. This amendment #6 has an effective date of May 29, 2025 and changes the maturity date of the Amended Note from May 31, 2025 to December 31, 2025, at which time all principal and interest is due.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Amended Note under Item 1.01 of this Current Report on Form 8-K shall not be deemed an acknowledgement that the Amended Note is a material agreement not made, or deemed not to be made,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previously announced on June 28, 2019, we entered into a promissory note with John Schutte that consolidated existing promissory notes into a single note for $6.0 million bearing interest at 7.5% (“$6.0 Million Note”). At that time, we also granted to Mr. Schutte conversion rights of the $6.0 Million Note into Acura common stock at $0.16 per share, issued to him a warrant to purchase 10.0 million shares of the Company’s common stock at a price of $0.01 per share having an expiration date of June 28, 2024 (“Warrant”) and granted a security interest in all our assets (“Security Agreement”). With our consent, effective on June 28, 2019, Mr. Schutte assigned and transferred to AD Pharma all of his right, title and interest in this $6.0 Million Loan, Security Agreement and Warrant. We previously announced on June 9, 2021, we received notice of conversion from AD Pharma for the $6.0 Million Note and approximately $877 thousand of accrued but unpaid interest on the $6.0 Million Note. The principal and interest on the $6.0 Million Note were converted into 42,984,375 shares of the Company’s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Effective May 29, 2025, in consideration of further amending the November 10, 2022 Amended, Consolidated and Restated Secured Promissory Note (the “Note”) with AD Pharma which changed the maturity date of the Note from May 31, 2025 to December 31, 2025, we amended the Warrant to change the expiration date of the Warrant from May 31, 2025 to December 31,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Warrant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May 29, 2025,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May 29, 2025,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obtain FDA acceptance, currently December 31, 2025, for an NDA for LTX-03 by our agreement with Abuse Deterrent Pharma, LLC on which we depend to finance operations;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December 31, 2025;</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potential market share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 w:type="dxa"/>
            <w:vAlign w:val="bottom"/>
          </w:tcPr>
          <w:p>
            <w:pPr>
              <w:spacing w:after="0"/>
              <w:rPr>
                <w:sz w:val="17"/>
                <w:szCs w:val="17"/>
                <w:color w:val="auto"/>
              </w:rPr>
            </w:pPr>
          </w:p>
        </w:tc>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Amended Loan Schedule dated May 22, 2025 to the November 10, 2022 Amended, Consolidated and Restated Secured</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Promissory Note with Abuse Deterrent Pharma, LLC</w:t>
            </w:r>
          </w:p>
        </w:tc>
        <w:tc>
          <w:tcPr>
            <w:tcW w:w="4780" w:type="dxa"/>
            <w:vAlign w:val="bottom"/>
            <w:tcBorders>
              <w:top w:val="single" w:sz="8" w:color="0000EE"/>
            </w:tcBorders>
          </w:tcPr>
          <w:p>
            <w:pPr>
              <w:spacing w:after="0"/>
              <w:rPr>
                <w:sz w:val="17"/>
                <w:szCs w:val="17"/>
                <w:color w:val="auto"/>
              </w:rPr>
            </w:pPr>
          </w:p>
        </w:tc>
        <w:tc>
          <w:tcPr>
            <w:tcW w:w="360" w:type="dxa"/>
            <w:vAlign w:val="bottom"/>
            <w:gridSpan w:val="3"/>
          </w:tcPr>
          <w:p>
            <w:pPr>
              <w:spacing w:after="0"/>
              <w:rPr>
                <w:sz w:val="17"/>
                <w:szCs w:val="17"/>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1000" w:type="dxa"/>
            <w:vAlign w:val="bottom"/>
          </w:tcPr>
          <w:p>
            <w:pPr>
              <w:spacing w:after="0"/>
              <w:rPr>
                <w:sz w:val="17"/>
                <w:szCs w:val="17"/>
                <w:color w:val="auto"/>
              </w:rPr>
            </w:pPr>
          </w:p>
        </w:tc>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#12 dated May 29, 2025 to the License, Development and Commercialization Agreement with Abuse Deterrent</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9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Pharma, LLC</w:t>
            </w:r>
          </w:p>
        </w:tc>
      </w:tr>
      <w:tr>
        <w:trPr>
          <w:trHeight w:val="20"/>
        </w:trPr>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p>
        </w:tc>
        <w:tc>
          <w:tcPr>
            <w:tcW w:w="1000" w:type="dxa"/>
            <w:vAlign w:val="bottom"/>
          </w:tcPr>
          <w:p>
            <w:pPr>
              <w:spacing w:after="0"/>
              <w:rPr>
                <w:sz w:val="17"/>
                <w:szCs w:val="17"/>
                <w:color w:val="auto"/>
              </w:rPr>
            </w:pPr>
          </w:p>
        </w:tc>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Amendment #6 dated May 29, 2025 to the November 10, 2022 Amended, Consolidated and Restated Secured Promissory</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 with Abuse Deterrent Pharma, LLC</w:t>
            </w:r>
          </w:p>
        </w:tc>
        <w:tc>
          <w:tcPr>
            <w:tcW w:w="5800" w:type="dxa"/>
            <w:vAlign w:val="bottom"/>
            <w:tcBorders>
              <w:top w:val="single" w:sz="8" w:color="0000EE"/>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4</w:t>
            </w:r>
          </w:p>
        </w:tc>
        <w:tc>
          <w:tcPr>
            <w:tcW w:w="1000" w:type="dxa"/>
            <w:vAlign w:val="bottom"/>
          </w:tcPr>
          <w:p>
            <w:pPr>
              <w:spacing w:after="0"/>
              <w:rPr>
                <w:sz w:val="17"/>
                <w:szCs w:val="17"/>
                <w:color w:val="auto"/>
              </w:rPr>
            </w:pPr>
          </w:p>
        </w:tc>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Amendment #4 dated May 29, 2025 to the June 28, 2019 Common Stock Purchase Warrant with Abuse Deterrent Pharma,</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c>
          <w:tcPr>
            <w:tcW w:w="1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40" w:type="dxa"/>
            <w:vAlign w:val="bottom"/>
            <w:gridSpan w:val="8"/>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5"/>
          </w:tcPr>
          <w:p>
            <w:pPr>
              <w:ind w:left="3320"/>
              <w:spacing w:after="0"/>
              <w:rPr>
                <w:sz w:val="20"/>
                <w:szCs w:val="20"/>
                <w:color w:val="auto"/>
              </w:rPr>
            </w:pPr>
            <w:r>
              <w:rPr>
                <w:rFonts w:ascii="Times New Roman" w:cs="Times New Roman" w:eastAsia="Times New Roman" w:hAnsi="Times New Roman"/>
                <w:sz w:val="18"/>
                <w:szCs w:val="18"/>
                <w:color w:val="auto"/>
              </w:rPr>
              <w:t>4</w:t>
            </w:r>
          </w:p>
        </w:tc>
        <w:tc>
          <w:tcPr>
            <w:tcW w:w="4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A. Seiser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30,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Loan Schedule to Secured Promissory Note dated November 10,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Acura Pharmaceuticals, Inc. and Abuse Deterrent Pharma,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Aggregated</w:t>
            </w:r>
          </w:p>
        </w:tc>
      </w:tr>
      <w:tr>
        <w:trPr>
          <w:trHeight w:val="234"/>
        </w:trPr>
        <w:tc>
          <w:tcPr>
            <w:tcW w:w="6760" w:type="dxa"/>
            <w:vAlign w:val="bottom"/>
          </w:tcPr>
          <w:p>
            <w:pPr>
              <w:spacing w:after="0"/>
              <w:rPr>
                <w:sz w:val="20"/>
                <w:szCs w:val="20"/>
                <w:color w:val="auto"/>
              </w:rPr>
            </w:pPr>
          </w:p>
        </w:tc>
        <w:tc>
          <w:tcPr>
            <w:tcW w:w="1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Principal</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 Secured Promissory Note</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11/10/2022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Loans to be included:</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Loans #1 dated 12/22/2022 through Loan #26 dated 12/12/2024</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4,625,000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6,944,279</w:t>
            </w:r>
          </w:p>
        </w:tc>
      </w:tr>
      <w:tr>
        <w:trPr>
          <w:trHeight w:val="216"/>
        </w:trPr>
        <w:tc>
          <w:tcPr>
            <w:tcW w:w="6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#27</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1/13/2025</w:t>
            </w:r>
          </w:p>
        </w:tc>
        <w:tc>
          <w:tcPr>
            <w:tcW w:w="3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7,069,279</w:t>
            </w:r>
          </w:p>
        </w:tc>
      </w:tr>
      <w:tr>
        <w:trPr>
          <w:trHeight w:val="216"/>
        </w:trPr>
        <w:tc>
          <w:tcPr>
            <w:tcW w:w="67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#28</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1/23/2025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7,169,279</w:t>
            </w:r>
          </w:p>
        </w:tc>
      </w:tr>
      <w:tr>
        <w:trPr>
          <w:trHeight w:val="216"/>
        </w:trPr>
        <w:tc>
          <w:tcPr>
            <w:tcW w:w="6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#29</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2/03/2025</w:t>
            </w:r>
          </w:p>
        </w:tc>
        <w:tc>
          <w:tcPr>
            <w:tcW w:w="3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7,294,279</w:t>
            </w:r>
          </w:p>
        </w:tc>
      </w:tr>
      <w:tr>
        <w:trPr>
          <w:trHeight w:val="216"/>
        </w:trPr>
        <w:tc>
          <w:tcPr>
            <w:tcW w:w="67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#30</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2/14/2025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7,394,279</w:t>
            </w:r>
          </w:p>
        </w:tc>
      </w:tr>
      <w:tr>
        <w:trPr>
          <w:trHeight w:val="216"/>
        </w:trPr>
        <w:tc>
          <w:tcPr>
            <w:tcW w:w="6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#31</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2/28/2025</w:t>
            </w:r>
          </w:p>
        </w:tc>
        <w:tc>
          <w:tcPr>
            <w:tcW w:w="3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7,494,279</w:t>
            </w:r>
          </w:p>
        </w:tc>
      </w:tr>
      <w:tr>
        <w:trPr>
          <w:trHeight w:val="216"/>
        </w:trPr>
        <w:tc>
          <w:tcPr>
            <w:tcW w:w="67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#32</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3/17/2025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7,594,279</w:t>
            </w:r>
          </w:p>
        </w:tc>
      </w:tr>
      <w:tr>
        <w:trPr>
          <w:trHeight w:val="216"/>
        </w:trPr>
        <w:tc>
          <w:tcPr>
            <w:tcW w:w="6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#33</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4/04/2025</w:t>
            </w:r>
          </w:p>
        </w:tc>
        <w:tc>
          <w:tcPr>
            <w:tcW w:w="3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7,694,279</w:t>
            </w:r>
          </w:p>
        </w:tc>
      </w:tr>
      <w:tr>
        <w:trPr>
          <w:trHeight w:val="216"/>
        </w:trPr>
        <w:tc>
          <w:tcPr>
            <w:tcW w:w="67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#34</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4/18/2025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7,794,279</w:t>
            </w:r>
          </w:p>
        </w:tc>
      </w:tr>
      <w:tr>
        <w:trPr>
          <w:trHeight w:val="216"/>
        </w:trPr>
        <w:tc>
          <w:tcPr>
            <w:tcW w:w="6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#35</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5/02/2025</w:t>
            </w:r>
          </w:p>
        </w:tc>
        <w:tc>
          <w:tcPr>
            <w:tcW w:w="3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7,894,279</w:t>
            </w:r>
          </w:p>
        </w:tc>
      </w:tr>
      <w:tr>
        <w:trPr>
          <w:trHeight w:val="216"/>
        </w:trPr>
        <w:tc>
          <w:tcPr>
            <w:tcW w:w="67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#36</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5/22/2025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7,994,279</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A. Seiser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Seiser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0F0E0F"/>
        </w:rPr>
        <w:t>AMENDMENT #12</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0F0E0F"/>
        </w:rPr>
        <w:t>TO LICENSE, DEVELOPMENT AND COMMERCIALIZATION AGREEMENT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0F0E0F"/>
        </w:rPr>
        <w:t xml:space="preserve">This AMENDMENT #12 (this </w:t>
      </w:r>
      <w:r>
        <w:rPr>
          <w:rFonts w:ascii="Times New Roman" w:cs="Times New Roman" w:eastAsia="Times New Roman" w:hAnsi="Times New Roman"/>
          <w:sz w:val="18"/>
          <w:szCs w:val="18"/>
          <w:b w:val="1"/>
          <w:bCs w:val="1"/>
          <w:color w:val="0F0E0F"/>
        </w:rPr>
        <w:t>"Amendment")</w:t>
      </w:r>
      <w:r>
        <w:rPr>
          <w:rFonts w:ascii="Times New Roman" w:cs="Times New Roman" w:eastAsia="Times New Roman" w:hAnsi="Times New Roman"/>
          <w:sz w:val="18"/>
          <w:szCs w:val="18"/>
          <w:color w:val="0F0E0F"/>
        </w:rPr>
        <w:t xml:space="preserve"> TO LICENSE, DEVELOPMENT AND COMMERCIALIZATION AGREEMENT (the </w:t>
      </w:r>
      <w:r>
        <w:rPr>
          <w:rFonts w:ascii="Times New Roman" w:cs="Times New Roman" w:eastAsia="Times New Roman" w:hAnsi="Times New Roman"/>
          <w:sz w:val="18"/>
          <w:szCs w:val="18"/>
          <w:b w:val="1"/>
          <w:bCs w:val="1"/>
          <w:color w:val="0F0E0F"/>
        </w:rPr>
        <w:t xml:space="preserve">"Agreement") </w:t>
      </w:r>
      <w:r>
        <w:rPr>
          <w:rFonts w:ascii="Times New Roman" w:cs="Times New Roman" w:eastAsia="Times New Roman" w:hAnsi="Times New Roman"/>
          <w:sz w:val="18"/>
          <w:szCs w:val="18"/>
          <w:color w:val="0F0E0F"/>
        </w:rPr>
        <w:t>dated June 28, 2019 between Acura Pharmaceuticals, Inc</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b w:val="1"/>
          <w:bCs w:val="1"/>
          <w:color w:val="0F0E0F"/>
        </w:rPr>
        <w:t xml:space="preserve"> ("Acura"), </w:t>
      </w:r>
      <w:r>
        <w:rPr>
          <w:rFonts w:ascii="Times New Roman" w:cs="Times New Roman" w:eastAsia="Times New Roman" w:hAnsi="Times New Roman"/>
          <w:sz w:val="18"/>
          <w:szCs w:val="18"/>
          <w:color w:val="0F0E0F"/>
        </w:rPr>
        <w:t>a New York corporation, having a place of business at 616 N. North</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Court, Suite 120, Palatine</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IL 60067, and Abuse Deterrent Pharma</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LLC </w:t>
      </w:r>
      <w:r>
        <w:rPr>
          <w:rFonts w:ascii="Times New Roman" w:cs="Times New Roman" w:eastAsia="Times New Roman" w:hAnsi="Times New Roman"/>
          <w:sz w:val="18"/>
          <w:szCs w:val="18"/>
          <w:b w:val="1"/>
          <w:bCs w:val="1"/>
          <w:color w:val="0F0E0F"/>
        </w:rPr>
        <w:t>("AD Pharma"),</w:t>
      </w:r>
      <w:r>
        <w:rPr>
          <w:rFonts w:ascii="Times New Roman" w:cs="Times New Roman" w:eastAsia="Times New Roman" w:hAnsi="Times New Roman"/>
          <w:sz w:val="18"/>
          <w:szCs w:val="18"/>
          <w:color w:val="0F0E0F"/>
        </w:rPr>
        <w:t xml:space="preserve"> a Kentucky limited liability company</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0F0E0F"/>
        </w:rPr>
        <w:t xml:space="preserve"> having a place of business at 2604 River Green Circle, Louisville, Kentucky 40206, is made as of May 29, 2025.</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0F0E0F"/>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F0E0F"/>
        </w:rPr>
        <w:t xml:space="preserve">WHEREAS, </w:t>
      </w:r>
      <w:r>
        <w:rPr>
          <w:rFonts w:ascii="Times New Roman" w:cs="Times New Roman" w:eastAsia="Times New Roman" w:hAnsi="Times New Roman"/>
          <w:sz w:val="18"/>
          <w:szCs w:val="18"/>
          <w:color w:val="0F0E0F"/>
        </w:rPr>
        <w:t>Acura and AD Pharma have entered into certain Amendments to the Agreement (the</w:t>
      </w:r>
      <w:r>
        <w:rPr>
          <w:rFonts w:ascii="Times New Roman" w:cs="Times New Roman" w:eastAsia="Times New Roman" w:hAnsi="Times New Roman"/>
          <w:sz w:val="18"/>
          <w:szCs w:val="18"/>
          <w:b w:val="1"/>
          <w:bCs w:val="1"/>
          <w:color w:val="0F0E0F"/>
        </w:rPr>
        <w:t xml:space="preserve"> "Prior Amendments") </w:t>
      </w:r>
      <w:r>
        <w:rPr>
          <w:rFonts w:ascii="Times New Roman" w:cs="Times New Roman" w:eastAsia="Times New Roman" w:hAnsi="Times New Roman"/>
          <w:sz w:val="18"/>
          <w:szCs w:val="18"/>
          <w:color w:val="0F0E0F"/>
        </w:rPr>
        <w:t>as follows: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 1 on October 16, 2020</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Amendment #2 on June 17</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2021</w:t>
      </w:r>
      <w:r>
        <w:rPr>
          <w:rFonts w:ascii="Times New Roman" w:cs="Times New Roman" w:eastAsia="Times New Roman" w:hAnsi="Times New Roman"/>
          <w:sz w:val="18"/>
          <w:szCs w:val="18"/>
          <w:color w:val="3D3D3D"/>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#3 on February 28, 2022,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#4 on November 10, 2022,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#5 on December 8</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2022,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#6 on June 15, 2023,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#7 on November 13, 2023,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#8 on March 15, 2024,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#9 on June 14, 2024,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#10 on October 28, 2024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 xml:space="preserve">Amendment #11 on February 28, 2025, </w:t>
      </w:r>
      <w:r>
        <w:rPr>
          <w:rFonts w:ascii="Times New Roman" w:cs="Times New Roman" w:eastAsia="Times New Roman" w:hAnsi="Times New Roman"/>
          <w:sz w:val="18"/>
          <w:szCs w:val="18"/>
          <w:b w:val="1"/>
          <w:bCs w:val="1"/>
          <w:color w:val="0F0E0F"/>
        </w:rPr>
        <w:t>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F0E0F"/>
        </w:rPr>
        <w:t xml:space="preserve">WHEREAS, </w:t>
      </w:r>
      <w:r>
        <w:rPr>
          <w:rFonts w:ascii="Times New Roman" w:cs="Times New Roman" w:eastAsia="Times New Roman" w:hAnsi="Times New Roman"/>
          <w:sz w:val="18"/>
          <w:szCs w:val="18"/>
          <w:color w:val="0F0E0F"/>
        </w:rPr>
        <w:t>the Parties desire to amend the Agreement to provide for an extension to the LIMITx™ Regulatory Submission Timeline.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NOW THEREFORE, </w:t>
      </w:r>
      <w:r>
        <w:rPr>
          <w:rFonts w:ascii="Times New Roman" w:cs="Times New Roman" w:eastAsia="Times New Roman" w:hAnsi="Times New Roman"/>
          <w:sz w:val="18"/>
          <w:szCs w:val="18"/>
          <w:color w:val="0F0E0F"/>
        </w:rPr>
        <w:t>in consideration of the mutual covenants and promises contained in the Agreement</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as amended, and this Amendment and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other good and valuable consideration</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the receipt and sufficiency of which are hereby acknowledged, Acura and AD Pharma agree as follows</w:t>
      </w:r>
      <w:r>
        <w:rPr>
          <w:rFonts w:ascii="Times New Roman" w:cs="Times New Roman" w:eastAsia="Times New Roman" w:hAnsi="Times New Roman"/>
          <w:sz w:val="18"/>
          <w:szCs w:val="18"/>
          <w:color w:val="262626"/>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F0E0F"/>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F0E0F"/>
        </w:rPr>
        <w:t>AMENDMENTS TO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F0E0F"/>
        </w:rPr>
        <w:t xml:space="preserve">1.1 </w:t>
      </w:r>
      <w:r>
        <w:rPr>
          <w:rFonts w:ascii="Times New Roman" w:cs="Times New Roman" w:eastAsia="Times New Roman" w:hAnsi="Times New Roman"/>
          <w:sz w:val="18"/>
          <w:szCs w:val="18"/>
          <w:color w:val="0F0E0F"/>
        </w:rPr>
        <w:t>Item 3 of Schedule 1 "LIMITx™ Regulatory Application Submission Timeline" is hereby amended and replaced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262626"/>
        </w:rPr>
        <w:t>i</w:t>
      </w:r>
      <w:r>
        <w:rPr>
          <w:rFonts w:ascii="Times New Roman" w:cs="Times New Roman" w:eastAsia="Times New Roman" w:hAnsi="Times New Roman"/>
          <w:sz w:val="18"/>
          <w:szCs w:val="18"/>
          <w:color w:val="0F0E0F"/>
        </w:rPr>
        <w:t>n its entirety as follows: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3. By December 31</w:t>
      </w:r>
      <w:r>
        <w:rPr>
          <w:rFonts w:ascii="Times New Roman" w:cs="Times New Roman" w:eastAsia="Times New Roman" w:hAnsi="Times New Roman"/>
          <w:sz w:val="18"/>
          <w:szCs w:val="18"/>
          <w:color w:val="262626"/>
        </w:rPr>
        <w:t>, 2025 Acura</w:t>
      </w:r>
      <w:r>
        <w:rPr>
          <w:rFonts w:ascii="Times New Roman" w:cs="Times New Roman" w:eastAsia="Times New Roman" w:hAnsi="Times New Roman"/>
          <w:sz w:val="18"/>
          <w:szCs w:val="18"/>
          <w:color w:val="0F0E0F"/>
        </w:rPr>
        <w:t xml:space="preserve"> must gain filing acceptance by the FDA of a Regulatory Approval Application for the Product.</w:t>
      </w: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0F0E0F"/>
        </w:rPr>
        <w:t>ARTICLE 2</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0F0E0F"/>
        </w:rPr>
        <w:t>MISCELLANEOUS</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2.1 Governing Law. </w:t>
      </w:r>
      <w:r>
        <w:rPr>
          <w:rFonts w:ascii="Times New Roman" w:cs="Times New Roman" w:eastAsia="Times New Roman" w:hAnsi="Times New Roman"/>
          <w:sz w:val="18"/>
          <w:szCs w:val="18"/>
          <w:color w:val="0F0E0F"/>
        </w:rPr>
        <w:t>This Amendment shall be governed by the laws of the State of New York without regard to its conflict of laws rules or</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principles</w:t>
      </w:r>
      <w:r>
        <w:rPr>
          <w:rFonts w:ascii="Times New Roman" w:cs="Times New Roman" w:eastAsia="Times New Roman" w:hAnsi="Times New Roman"/>
          <w:sz w:val="18"/>
          <w:szCs w:val="18"/>
          <w:color w:val="3D3D3D"/>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2.2 Amendments</w:t>
      </w:r>
      <w:r>
        <w:rPr>
          <w:rFonts w:ascii="Times New Roman" w:cs="Times New Roman" w:eastAsia="Times New Roman" w:hAnsi="Times New Roman"/>
          <w:sz w:val="18"/>
          <w:szCs w:val="18"/>
          <w:b w:val="1"/>
          <w:bCs w:val="1"/>
          <w:color w:val="262626"/>
        </w:rPr>
        <w: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Except as expressly amended by this Amendment #12 and the "Prior Amendments", the Agreement shall remain unmodified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and in full force and effect.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F0E0F"/>
        </w:rPr>
        <w:t xml:space="preserve">2.3 Entire Agreement. </w:t>
      </w:r>
      <w:r>
        <w:rPr>
          <w:rFonts w:ascii="Times New Roman" w:cs="Times New Roman" w:eastAsia="Times New Roman" w:hAnsi="Times New Roman"/>
          <w:sz w:val="18"/>
          <w:szCs w:val="18"/>
          <w:color w:val="0F0E0F"/>
        </w:rPr>
        <w:t>The Agreement (including the Schedules attached thereto)</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as amended by the "Prior Amendments" and this Amendment,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constitutes the entire agreement of the Parties with respect to the subject matter hereof and supersede all prior understandings and writings between the Parties relating thereto.</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2.4 Interpretation. </w:t>
      </w:r>
      <w:r>
        <w:rPr>
          <w:rFonts w:ascii="Times New Roman" w:cs="Times New Roman" w:eastAsia="Times New Roman" w:hAnsi="Times New Roman"/>
          <w:sz w:val="18"/>
          <w:szCs w:val="18"/>
          <w:color w:val="0F0E0F"/>
        </w:rPr>
        <w:t>Any capitalized terms used in this Amendment and not otherwise defined herein shall have the meaning provided in the</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F0E0F"/>
        </w:rPr>
        <w:t xml:space="preserve">2.5 Counterparts. </w:t>
      </w:r>
      <w:r>
        <w:rPr>
          <w:rFonts w:ascii="Times New Roman" w:cs="Times New Roman" w:eastAsia="Times New Roman" w:hAnsi="Times New Roman"/>
          <w:sz w:val="18"/>
          <w:szCs w:val="18"/>
          <w:color w:val="0F0E0F"/>
        </w:rPr>
        <w:t>This Amendment may be executed manually or electronically by the Parties, in any number of counterparts, each of which</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shall be considered one and the same amendment and shall become effective when a counterpart hereof shall have been signed by each of the Parties and delivered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IN WITNESS WHEREOF, </w:t>
      </w:r>
      <w:r>
        <w:rPr>
          <w:rFonts w:ascii="Times New Roman" w:cs="Times New Roman" w:eastAsia="Times New Roman" w:hAnsi="Times New Roman"/>
          <w:sz w:val="18"/>
          <w:szCs w:val="18"/>
          <w:color w:val="0F0E0F"/>
        </w:rPr>
        <w:t>the Parties hereto have caused this Amendment to be executed in their names by their properly and duly authorized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officers or representatives as of the date first written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0C0E"/>
        </w:rPr>
        <w:t xml:space="preserve">ACURA PHARMACEUTICALS, </w:t>
      </w:r>
      <w:r>
        <w:rPr>
          <w:rFonts w:ascii="Times New Roman" w:cs="Times New Roman" w:eastAsia="Times New Roman" w:hAnsi="Times New Roman"/>
          <w:sz w:val="18"/>
          <w:szCs w:val="18"/>
          <w:b w:val="1"/>
          <w:bCs w:val="1"/>
          <w:color w:val="232323"/>
        </w:rPr>
        <w:t>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A. Seiser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E0C0E"/>
        </w:rPr>
        <w:t>Name: Robert Seiser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E0C0E"/>
        </w:rPr>
        <w:t>Title: SVP and CFO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ABUSE DETERRENT PHARMA,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John Schutte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E0C0E"/>
        </w:rPr>
        <w:t>Name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0E0C0E"/>
        </w:rPr>
        <w:t xml:space="preserve"> John Schutte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E0C0E"/>
        </w:rPr>
        <w:t>Title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0E0C0E"/>
        </w:rPr>
        <w:t xml:space="preserv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CONSOLIDATED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PROMISSORY NOTE</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#6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AMENDED, CONSOLIDATED AND RESTATED SECURED PROMISSSORY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dated November 10, 2022 between Acura Pharmaceuticals, Inc. (“</w:t>
      </w:r>
      <w:r>
        <w:rPr>
          <w:rFonts w:ascii="Times New Roman" w:cs="Times New Roman" w:eastAsia="Times New Roman" w:hAnsi="Times New Roman"/>
          <w:sz w:val="18"/>
          <w:szCs w:val="18"/>
          <w:b w:val="1"/>
          <w:bCs w:val="1"/>
          <w:color w:val="auto"/>
        </w:rPr>
        <w:t>Acura</w:t>
      </w:r>
      <w:r>
        <w:rPr>
          <w:rFonts w:ascii="Times New Roman" w:cs="Times New Roman" w:eastAsia="Times New Roman" w:hAnsi="Times New Roman"/>
          <w:sz w:val="18"/>
          <w:szCs w:val="18"/>
          <w:color w:val="auto"/>
        </w:rPr>
        <w:t>”), a New York corporation, having a place of business at 616 N. North Court, Suite 120, Palatine, IL 60067, and Abuse Deterrent Pharma, LLC (“</w:t>
      </w:r>
      <w:r>
        <w:rPr>
          <w:rFonts w:ascii="Times New Roman" w:cs="Times New Roman" w:eastAsia="Times New Roman" w:hAnsi="Times New Roman"/>
          <w:sz w:val="18"/>
          <w:szCs w:val="18"/>
          <w:b w:val="1"/>
          <w:bCs w:val="1"/>
          <w:color w:val="auto"/>
        </w:rPr>
        <w:t>AD Pharma</w:t>
      </w:r>
      <w:r>
        <w:rPr>
          <w:rFonts w:ascii="Times New Roman" w:cs="Times New Roman" w:eastAsia="Times New Roman" w:hAnsi="Times New Roman"/>
          <w:sz w:val="18"/>
          <w:szCs w:val="18"/>
          <w:color w:val="auto"/>
        </w:rPr>
        <w:t>”), a Kentucky limited liability company, having a place of business at 2604 River Green Circle, Louisville, Kentucky 40206, is made as of May 29,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amend the Note to change the Maturity Date of this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in the Note, as amended, and this Amendment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receipt and sufficiency of which are hereby acknowledged, Acura and AD Pharma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Item 2.1 ”Maturity Date” is hereby amended and replaced in its entirety as follows: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agrees to pay the principal sum of this Note and interest on the unpaid principal sum of this Note on December 31, 2025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Time shall be of the essence with respect to all of the Company’s obligations under this Note.</w:t>
      </w:r>
    </w:p>
    <w:p>
      <w:pPr>
        <w:spacing w:after="0" w:line="15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2.1 Amendments</w:t>
      </w:r>
      <w:r>
        <w:rPr>
          <w:rFonts w:ascii="Times New Roman" w:cs="Times New Roman" w:eastAsia="Times New Roman" w:hAnsi="Times New Roman"/>
          <w:sz w:val="18"/>
          <w:szCs w:val="18"/>
          <w:color w:val="auto"/>
        </w:rPr>
        <w:t>. Except as expressly amended by this Amendment #6 and the “Prior Amendments”, the Note shall remain unmodified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force and effect.</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in their names by their properly and duly authorized officers or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A. Seiser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SVP and CFO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ABUSE DETERRENT PHARMA,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John Schutte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Schutte 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#4 COMMON STOCK PURCHASE WARRANT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#4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COMMON STOCK PURCHASE WARRANT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dated June 28, 2019 between Acura Pharmaceuticals, Inc. (“</w:t>
      </w:r>
      <w:r>
        <w:rPr>
          <w:rFonts w:ascii="Times New Roman" w:cs="Times New Roman" w:eastAsia="Times New Roman" w:hAnsi="Times New Roman"/>
          <w:sz w:val="18"/>
          <w:szCs w:val="18"/>
          <w:b w:val="1"/>
          <w:bCs w:val="1"/>
          <w:color w:val="auto"/>
        </w:rPr>
        <w:t>Acura</w:t>
      </w:r>
      <w:r>
        <w:rPr>
          <w:rFonts w:ascii="Times New Roman" w:cs="Times New Roman" w:eastAsia="Times New Roman" w:hAnsi="Times New Roman"/>
          <w:sz w:val="18"/>
          <w:szCs w:val="18"/>
          <w:color w:val="auto"/>
        </w:rPr>
        <w:t>”), a New York corporation, having a place of business at 616 N. North Court, Suite 120, Palatine, IL 60067, and Abuse Deterrent Pharma, LLC (“</w:t>
      </w:r>
      <w:r>
        <w:rPr>
          <w:rFonts w:ascii="Times New Roman" w:cs="Times New Roman" w:eastAsia="Times New Roman" w:hAnsi="Times New Roman"/>
          <w:sz w:val="18"/>
          <w:szCs w:val="18"/>
          <w:b w:val="1"/>
          <w:bCs w:val="1"/>
          <w:color w:val="auto"/>
        </w:rPr>
        <w:t>AD Pharma</w:t>
      </w:r>
      <w:r>
        <w:rPr>
          <w:rFonts w:ascii="Times New Roman" w:cs="Times New Roman" w:eastAsia="Times New Roman" w:hAnsi="Times New Roman"/>
          <w:sz w:val="18"/>
          <w:szCs w:val="18"/>
          <w:color w:val="auto"/>
        </w:rPr>
        <w:t>”), a Kentucky limited liability company, having a place of business at 2604 River Green Circle, Louisville, Kentucky 40206, is made as of May 29,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amend the Warrant to change the Expiration Date of this Warrant.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in the Warrant, as amended, and this Amendment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Acura and AD Pharma agree to change Expiration Date of this Warrant to December 31, 2025.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Except as expressly amended by this Amendment #4, the Warrant shall remain unmodified and in full force and effect.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in their names by their properly and duly authorized officers or representatives as of the date first written above.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A. Seiser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SVP and CFO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ABUSE DETERRENT PHARMA,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John Schutte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Schutte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2025-05-30T10:55:22Z</dcterms:created>
  <dcterms:modified xsi:type="dcterms:W3CDTF">2025-05-30T10:55:22Z</dcterms:modified>
</cp:coreProperties>
</file>