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117475</wp:posOffset>
            </wp:positionV>
            <wp:extent cx="630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55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820" w:right="1560" w:hanging="812"/>
        <w:spacing w:after="0" w:line="493" w:lineRule="auto"/>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spacing w:after="0" w:line="1" w:lineRule="exact"/>
        <w:rPr>
          <w:sz w:val="24"/>
          <w:szCs w:val="24"/>
          <w:color w:val="auto"/>
        </w:rPr>
      </w:pPr>
    </w:p>
    <w:p>
      <w:pPr>
        <w:ind w:left="604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480" w:right="1380" w:hanging="2472"/>
        <w:spacing w:after="0" w:line="530" w:lineRule="auto"/>
        <w:tabs>
          <w:tab w:leader="none" w:pos="82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TRANSACTION REPORT PURSUANT TO SECTION 13 OR 15(D) OF THE SECURITIES EXCHANGE ACT OF 1934 For the transition period from ______________________ to_______________________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128905</wp:posOffset>
            </wp:positionV>
            <wp:extent cx="630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5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3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2"/>
              </w:rPr>
              <w:t>New York</w:t>
            </w:r>
          </w:p>
        </w:tc>
        <w:tc>
          <w:tcPr>
            <w:tcW w:w="4020" w:type="dxa"/>
            <w:vAlign w:val="bottom"/>
          </w:tcPr>
          <w:p>
            <w:pPr>
              <w:jc w:val="right"/>
              <w:ind w:right="73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360" w:type="dxa"/>
            <w:vAlign w:val="bottom"/>
          </w:tcPr>
          <w:p>
            <w:pPr>
              <w:jc w:val="center"/>
              <w:ind w:right="1430"/>
              <w:spacing w:after="0"/>
              <w:rPr>
                <w:sz w:val="20"/>
                <w:szCs w:val="20"/>
                <w:color w:val="auto"/>
              </w:rPr>
            </w:pPr>
            <w:r>
              <w:rPr>
                <w:rFonts w:ascii="Arial" w:cs="Arial" w:eastAsia="Arial" w:hAnsi="Arial"/>
                <w:sz w:val="18"/>
                <w:szCs w:val="18"/>
                <w:i w:val="1"/>
                <w:iCs w:val="1"/>
                <w:color w:val="auto"/>
                <w:w w:val="90"/>
              </w:rPr>
              <w:t>(State or other Jurisdiction of</w:t>
            </w:r>
          </w:p>
        </w:tc>
        <w:tc>
          <w:tcPr>
            <w:tcW w:w="4020" w:type="dxa"/>
            <w:vAlign w:val="bottom"/>
          </w:tcPr>
          <w:p>
            <w:pPr>
              <w:jc w:val="center"/>
              <w:ind w:left="1430"/>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230"/>
        </w:trPr>
        <w:tc>
          <w:tcPr>
            <w:tcW w:w="4360" w:type="dxa"/>
            <w:vAlign w:val="bottom"/>
          </w:tcPr>
          <w:p>
            <w:pPr>
              <w:jc w:val="center"/>
              <w:ind w:right="1410"/>
              <w:spacing w:after="0"/>
              <w:rPr>
                <w:sz w:val="20"/>
                <w:szCs w:val="20"/>
                <w:color w:val="auto"/>
              </w:rPr>
            </w:pPr>
            <w:r>
              <w:rPr>
                <w:rFonts w:ascii="Arial" w:cs="Arial" w:eastAsia="Arial" w:hAnsi="Arial"/>
                <w:sz w:val="18"/>
                <w:szCs w:val="18"/>
                <w:i w:val="1"/>
                <w:iCs w:val="1"/>
                <w:color w:val="auto"/>
                <w:w w:val="93"/>
              </w:rPr>
              <w:t>incorporation or organization)</w:t>
            </w:r>
          </w:p>
        </w:tc>
        <w:tc>
          <w:tcPr>
            <w:tcW w:w="4020" w:type="dxa"/>
            <w:vAlign w:val="bottom"/>
          </w:tcPr>
          <w:p>
            <w:pPr>
              <w:spacing w:after="0"/>
              <w:rPr>
                <w:sz w:val="20"/>
                <w:szCs w:val="20"/>
                <w:color w:val="auto"/>
              </w:rPr>
            </w:pPr>
          </w:p>
        </w:tc>
      </w:tr>
      <w:tr>
        <w:trPr>
          <w:trHeight w:val="414"/>
        </w:trPr>
        <w:tc>
          <w:tcPr>
            <w:tcW w:w="436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616 N. North Court, Suite 120</w:t>
            </w:r>
          </w:p>
        </w:tc>
        <w:tc>
          <w:tcPr>
            <w:tcW w:w="4020" w:type="dxa"/>
            <w:vAlign w:val="bottom"/>
          </w:tcPr>
          <w:p>
            <w:pPr>
              <w:spacing w:after="0"/>
              <w:rPr>
                <w:sz w:val="24"/>
                <w:szCs w:val="24"/>
                <w:color w:val="auto"/>
              </w:rPr>
            </w:pPr>
          </w:p>
        </w:tc>
      </w:tr>
      <w:tr>
        <w:trPr>
          <w:trHeight w:val="220"/>
        </w:trPr>
        <w:tc>
          <w:tcPr>
            <w:tcW w:w="43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Palatine, Illinois</w:t>
            </w:r>
          </w:p>
        </w:tc>
        <w:tc>
          <w:tcPr>
            <w:tcW w:w="4020" w:type="dxa"/>
            <w:vAlign w:val="bottom"/>
          </w:tcPr>
          <w:p>
            <w:pPr>
              <w:jc w:val="right"/>
              <w:ind w:right="930"/>
              <w:spacing w:after="0"/>
              <w:rPr>
                <w:sz w:val="20"/>
                <w:szCs w:val="20"/>
                <w:color w:val="auto"/>
              </w:rPr>
            </w:pPr>
            <w:r>
              <w:rPr>
                <w:rFonts w:ascii="Arial" w:cs="Arial" w:eastAsia="Arial" w:hAnsi="Arial"/>
                <w:sz w:val="18"/>
                <w:szCs w:val="18"/>
                <w:b w:val="1"/>
                <w:bCs w:val="1"/>
                <w:color w:val="auto"/>
              </w:rPr>
              <w:t>60067</w:t>
            </w:r>
          </w:p>
        </w:tc>
      </w:tr>
      <w:tr>
        <w:trPr>
          <w:trHeight w:val="230"/>
        </w:trPr>
        <w:tc>
          <w:tcPr>
            <w:tcW w:w="4360" w:type="dxa"/>
            <w:vAlign w:val="bottom"/>
          </w:tcPr>
          <w:p>
            <w:pPr>
              <w:jc w:val="center"/>
              <w:ind w:right="1430"/>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4020" w:type="dxa"/>
            <w:vAlign w:val="bottom"/>
          </w:tcPr>
          <w:p>
            <w:pPr>
              <w:jc w:val="center"/>
              <w:ind w:left="143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ind w:right="200" w:firstLine="907"/>
        <w:spacing w:after="0" w:line="24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ind w:right="240" w:firstLine="907"/>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104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1" w:lineRule="exact"/>
        <w:rPr>
          <w:sz w:val="24"/>
          <w:szCs w:val="24"/>
          <w:color w:val="auto"/>
        </w:rPr>
      </w:pPr>
    </w:p>
    <w:p>
      <w:pPr>
        <w:ind w:left="92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filer, “accelerated filer” and “smaller reporting company” in Rule 12b-2 of the Exchange Act. (Check one):</w:t>
      </w:r>
    </w:p>
    <w:p>
      <w:pPr>
        <w:sectPr>
          <w:pgSz w:w="11900" w:h="16838" w:orient="portrait"/>
          <w:cols w:equalWidth="0" w:num="1">
            <w:col w:w="11420"/>
          </w:cols>
          <w:pgMar w:left="240" w:top="729" w:right="239" w:bottom="1440" w:gutter="0" w:footer="0" w:header="0"/>
        </w:sectPr>
      </w:pPr>
    </w:p>
    <w:p>
      <w:pPr>
        <w:spacing w:after="0" w:line="238" w:lineRule="exact"/>
        <w:rPr>
          <w:sz w:val="24"/>
          <w:szCs w:val="24"/>
          <w:color w:val="auto"/>
        </w:rPr>
      </w:pPr>
    </w:p>
    <w:p>
      <w:pPr>
        <w:ind w:left="9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500" w:space="80"/>
            <w:col w:w="2420" w:space="720"/>
            <w:col w:w="1180" w:space="100"/>
            <w:col w:w="4420"/>
          </w:cols>
          <w:pgMar w:left="240" w:top="72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4">
            <w:col w:w="2400" w:space="60"/>
            <w:col w:w="2540" w:space="720"/>
            <w:col w:w="1920" w:space="60"/>
            <w:col w:w="3720"/>
          </w:cols>
          <w:pgMar w:left="240" w:top="729" w:right="239" w:bottom="1440" w:gutter="0" w:footer="0" w:header="0"/>
          <w:type w:val="continuous"/>
        </w:sectPr>
      </w:pPr>
    </w:p>
    <w:p>
      <w:pPr>
        <w:spacing w:after="0" w:line="35" w:lineRule="exact"/>
        <w:rPr>
          <w:sz w:val="24"/>
          <w:szCs w:val="24"/>
          <w:color w:val="auto"/>
        </w:rPr>
      </w:pPr>
    </w:p>
    <w:p>
      <w:pPr>
        <w:ind w:left="920"/>
        <w:spacing w:after="0" w:line="207" w:lineRule="exact"/>
        <w:tabs>
          <w:tab w:leader="none" w:pos="90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8" w:lineRule="exact"/>
        <w:rPr>
          <w:sz w:val="24"/>
          <w:szCs w:val="24"/>
          <w:color w:val="auto"/>
        </w:rPr>
      </w:pPr>
    </w:p>
    <w:p>
      <w:pPr>
        <w:ind w:left="920"/>
        <w:spacing w:after="0"/>
        <w:rPr>
          <w:sz w:val="20"/>
          <w:szCs w:val="20"/>
          <w:color w:val="auto"/>
        </w:rPr>
      </w:pPr>
      <w:r>
        <w:rPr>
          <w:rFonts w:ascii="Arial" w:cs="Arial" w:eastAsia="Arial" w:hAnsi="Arial"/>
          <w:sz w:val="18"/>
          <w:szCs w:val="18"/>
          <w:color w:val="auto"/>
        </w:rPr>
        <w:t>As of October 29, 2013 the registrant had 48,322,362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27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05"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Part 1. FINANCIAL INFORMATION</w:t>
            </w:r>
          </w:p>
        </w:tc>
        <w:tc>
          <w:tcPr>
            <w:tcW w:w="1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02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Consolidated Financial Statements (Unaudited):</w:t>
            </w:r>
          </w:p>
        </w:tc>
        <w:tc>
          <w:tcPr>
            <w:tcW w:w="1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Consolidated Balance Sheets as of September 30, 2013 and December 31, 2012</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9020" w:type="dxa"/>
            <w:vAlign w:val="bottom"/>
            <w:shd w:val="clear" w:color="auto" w:fill="CCFFCC"/>
          </w:tcPr>
          <w:p>
            <w:pPr>
              <w:ind w:left="840"/>
              <w:spacing w:after="0" w:line="201" w:lineRule="exact"/>
              <w:rPr>
                <w:sz w:val="20"/>
                <w:szCs w:val="20"/>
                <w:color w:val="auto"/>
              </w:rPr>
            </w:pPr>
            <w:r>
              <w:rPr>
                <w:rFonts w:ascii="Arial" w:cs="Arial" w:eastAsia="Arial" w:hAnsi="Arial"/>
                <w:sz w:val="18"/>
                <w:szCs w:val="18"/>
                <w:color w:val="auto"/>
                <w:w w:val="96"/>
              </w:rPr>
              <w:t>Consolidated Statements of Operations and Comprehensive Income (Loss) for the Three and Nine Months</w:t>
            </w:r>
          </w:p>
        </w:tc>
        <w:tc>
          <w:tcPr>
            <w:tcW w:w="1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Ended September 30, 2013 and September 30, 2012</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Consolidated Statement of Stockholders’ Equity for the Nine Months Ended September 30, 2013</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w w:val="89"/>
              </w:rPr>
              <w:t>Consolidated Statements of Cash Flows for the Nine Months Ended September 30, 2013 and September 30, 2012</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Notes to Consolidated Financial Statements</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Controls and Procedures</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Part II. OTHER INFORMATION</w:t>
            </w:r>
          </w:p>
        </w:tc>
        <w:tc>
          <w:tcPr>
            <w:tcW w:w="1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Legal Proceedings</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0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Exhibits</w:t>
            </w: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902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FFCC"/>
          </w:tcPr>
          <w:p>
            <w:pPr>
              <w:spacing w:after="0"/>
              <w:rPr>
                <w:sz w:val="18"/>
                <w:szCs w:val="18"/>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 net allowances of $21</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Income taxes refundable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Other current deferred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21,762</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29,054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FFCC"/>
          </w:tcPr>
          <w:p>
            <w:pPr>
              <w:spacing w:after="0"/>
              <w:rPr>
                <w:sz w:val="18"/>
                <w:szCs w:val="18"/>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Common stock: $.01 par value per share;</w:t>
            </w: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100,000 shares authorized, 48,322 and 45,867</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shares issued and outstanding at September 30,</w:t>
            </w: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2013 and December 31, 2012, respectively</w:t>
            </w: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365,863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(345,695)</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20,646</w:t>
            </w: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27,630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jc w:val="center"/>
        <w:ind w:left="260" w:right="1900"/>
        <w:spacing w:after="0" w:line="266" w:lineRule="auto"/>
        <w:rPr>
          <w:sz w:val="20"/>
          <w:szCs w:val="20"/>
          <w:color w:val="auto"/>
        </w:rPr>
      </w:pPr>
      <w:r>
        <w:rPr>
          <w:rFonts w:ascii="Arial" w:cs="Arial" w:eastAsia="Arial" w:hAnsi="Arial"/>
          <w:sz w:val="18"/>
          <w:szCs w:val="18"/>
          <w:b w:val="1"/>
          <w:bCs w:val="1"/>
          <w:color w:val="auto"/>
        </w:rPr>
        <w:t>ACURA PHARMACEUTICALS, INC. AND SUBSIDIARY CONSOLIDATED STATEMENTS OF OPERATIONS AND COMPRENESIVE INCOME (LOSS) (Unaudited;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center"/>
              <w:ind w:left="450"/>
              <w:spacing w:after="0"/>
              <w:rPr>
                <w:sz w:val="20"/>
                <w:szCs w:val="20"/>
                <w:color w:val="auto"/>
              </w:rPr>
            </w:pPr>
            <w:r>
              <w:rPr>
                <w:rFonts w:ascii="Arial" w:cs="Arial" w:eastAsia="Arial" w:hAnsi="Arial"/>
                <w:sz w:val="18"/>
                <w:szCs w:val="18"/>
                <w:color w:val="auto"/>
                <w:w w:val="90"/>
              </w:rPr>
              <w:t>Three Months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center"/>
              <w:ind w:left="450"/>
              <w:spacing w:after="0"/>
              <w:rPr>
                <w:sz w:val="20"/>
                <w:szCs w:val="20"/>
                <w:color w:val="auto"/>
              </w:rPr>
            </w:pPr>
            <w:r>
              <w:rPr>
                <w:rFonts w:ascii="Arial" w:cs="Arial" w:eastAsia="Arial" w:hAnsi="Arial"/>
                <w:sz w:val="18"/>
                <w:szCs w:val="18"/>
                <w:color w:val="auto"/>
                <w:w w:val="92"/>
              </w:rPr>
              <w:t>Nine Months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Ended September 30,</w:t>
            </w:r>
          </w:p>
        </w:tc>
        <w:tc>
          <w:tcPr>
            <w:tcW w:w="260" w:type="dxa"/>
            <w:vAlign w:val="bottom"/>
          </w:tcPr>
          <w:p>
            <w:pPr>
              <w:spacing w:after="0"/>
              <w:rPr>
                <w:sz w:val="18"/>
                <w:szCs w:val="18"/>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8"/>
                <w:szCs w:val="18"/>
                <w:color w:val="auto"/>
                <w:w w:val="87"/>
              </w:rPr>
              <w:t>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FFC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4"/>
              </w:rPr>
              <w:t>2012</w:t>
            </w:r>
          </w:p>
        </w:tc>
        <w:tc>
          <w:tcPr>
            <w:tcW w:w="1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Product sales, net</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revenues, net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Inventory write-down</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6,138</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4,164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(10,609)</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Non-operating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Loss on sales of marketable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125</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Unrealized gains on securities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Total other comprehensive income</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per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(0.22)</w:t>
            </w:r>
          </w:p>
        </w:tc>
        <w:tc>
          <w:tcPr>
            <w:tcW w:w="48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47,458</w:t>
            </w:r>
          </w:p>
        </w:tc>
        <w:tc>
          <w:tcPr>
            <w:tcW w:w="120" w:type="dxa"/>
            <w:vAlign w:val="bottom"/>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47,522</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47,297</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47,520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1"/>
          </w:tcPr>
          <w:p>
            <w:pPr>
              <w:ind w:left="480"/>
              <w:spacing w:after="0"/>
              <w:rPr>
                <w:sz w:val="20"/>
                <w:szCs w:val="20"/>
                <w:color w:val="auto"/>
              </w:rPr>
            </w:pPr>
            <w:r>
              <w:rPr>
                <w:rFonts w:ascii="Arial" w:cs="Arial" w:eastAsia="Arial" w:hAnsi="Arial"/>
                <w:sz w:val="18"/>
                <w:szCs w:val="18"/>
                <w:color w:val="auto"/>
                <w:w w:val="98"/>
              </w:rPr>
              <w:t>Nine Months Ended September 30, 2013</w:t>
            </w: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ind w:right="60"/>
              <w:spacing w:after="0" w:line="195" w:lineRule="exact"/>
              <w:rPr>
                <w:sz w:val="20"/>
                <w:szCs w:val="20"/>
                <w:color w:val="auto"/>
              </w:rPr>
            </w:pPr>
            <w:r>
              <w:rPr>
                <w:rFonts w:ascii="Arial" w:cs="Arial" w:eastAsia="Arial" w:hAnsi="Arial"/>
                <w:sz w:val="18"/>
                <w:szCs w:val="18"/>
                <w:color w:val="auto"/>
                <w:w w:val="92"/>
              </w:rPr>
              <w:t>Accumulated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left="236"/>
              <w:spacing w:after="0"/>
              <w:rPr>
                <w:sz w:val="20"/>
                <w:szCs w:val="20"/>
                <w:color w:val="auto"/>
              </w:rPr>
            </w:pPr>
            <w:r>
              <w:rPr>
                <w:rFonts w:ascii="Arial" w:cs="Arial" w:eastAsia="Arial" w:hAnsi="Arial"/>
                <w:sz w:val="18"/>
                <w:szCs w:val="18"/>
                <w:color w:val="auto"/>
                <w:w w:val="88"/>
              </w:rPr>
              <w:t>Other</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920" w:type="dxa"/>
            <w:vAlign w:val="bottom"/>
            <w:gridSpan w:val="6"/>
          </w:tcPr>
          <w:p>
            <w:pPr>
              <w:ind w:left="3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Paid-in</w:t>
            </w:r>
          </w:p>
        </w:tc>
        <w:tc>
          <w:tcPr>
            <w:tcW w:w="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w w:val="96"/>
              </w:rPr>
              <w:t>Accumulated</w:t>
            </w:r>
          </w:p>
        </w:tc>
        <w:tc>
          <w:tcPr>
            <w:tcW w:w="1240" w:type="dxa"/>
            <w:vAlign w:val="bottom"/>
            <w:gridSpan w:val="4"/>
          </w:tcPr>
          <w:p>
            <w:pPr>
              <w:jc w:val="center"/>
              <w:spacing w:after="0"/>
              <w:rPr>
                <w:sz w:val="20"/>
                <w:szCs w:val="20"/>
                <w:color w:val="auto"/>
              </w:rPr>
            </w:pPr>
            <w:r>
              <w:rPr>
                <w:rFonts w:ascii="Arial" w:cs="Arial" w:eastAsia="Arial" w:hAnsi="Arial"/>
                <w:sz w:val="18"/>
                <w:szCs w:val="18"/>
                <w:color w:val="auto"/>
                <w:w w:val="88"/>
              </w:rPr>
              <w:t>Comprehensive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Shares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Capital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Income (Loss)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December 31, 2012</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45,867</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362,422</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(335,211)</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ind w:right="63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(40)</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27,630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 (loss)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9"/>
              </w:rPr>
              <w:t>Net distribution of common stock pursuant to restricted stock unit</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award plan</w:t>
            </w:r>
          </w:p>
        </w:tc>
        <w:tc>
          <w:tcPr>
            <w:tcW w:w="800" w:type="dxa"/>
            <w:vAlign w:val="bottom"/>
          </w:tcPr>
          <w:p>
            <w:pPr>
              <w:jc w:val="right"/>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Common shares withheld for withholding taxes on distribution of</w:t>
            </w: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Net issuance of common stock pursuant to cashless exercise of stock</w:t>
            </w: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4"/>
              </w:rPr>
              <w:t>Common shares withheld for withholding taxes on cashless exercise</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of stock options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under “at the market” offerings, net of</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offering costs of $102</w:t>
            </w:r>
          </w:p>
        </w:tc>
        <w:tc>
          <w:tcPr>
            <w:tcW w:w="800" w:type="dxa"/>
            <w:vAlign w:val="bottom"/>
          </w:tcPr>
          <w:p>
            <w:pPr>
              <w:jc w:val="right"/>
              <w:spacing w:after="0"/>
              <w:rPr>
                <w:sz w:val="20"/>
                <w:szCs w:val="20"/>
                <w:color w:val="auto"/>
              </w:rPr>
            </w:pPr>
            <w:r>
              <w:rPr>
                <w:rFonts w:ascii="Arial" w:cs="Arial" w:eastAsia="Arial" w:hAnsi="Arial"/>
                <w:sz w:val="18"/>
                <w:szCs w:val="18"/>
                <w:color w:val="auto"/>
              </w:rPr>
              <w:t>1,940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Issuance of common stock for exercise of stock options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Balance at September 30, 2013</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48,322</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365,863</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(345,695)</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ind w:right="63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20,646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6"/>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6"/>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(10,484)</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945</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Provision to reduce inventory to net realizable value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Loss on sales of marketable securities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Accrued investment income</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Income taxes refundable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(536)</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Other current deferred assets</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362</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52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ind w:left="68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(10,516)</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(7,611)</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Proceeds from sale of marketable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FFCC"/>
            </w:tcBorders>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Proceeds from distribution of restricted stock units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360"/>
              <w:spacing w:after="0" w:line="201" w:lineRule="exact"/>
              <w:rPr>
                <w:sz w:val="20"/>
                <w:szCs w:val="20"/>
                <w:color w:val="auto"/>
              </w:rPr>
            </w:pPr>
            <w:r>
              <w:rPr>
                <w:rFonts w:ascii="Arial" w:cs="Arial" w:eastAsia="Arial" w:hAnsi="Arial"/>
                <w:sz w:val="18"/>
                <w:szCs w:val="18"/>
                <w:color w:val="auto"/>
                <w:w w:val="94"/>
              </w:rPr>
              <w:t>Statutory minimum withholding taxes paid on the distribution of common stock pursuant to restricted stock unit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plan and exercise of stock options</w:t>
            </w: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Proceeds from “at the market” offering</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3,328</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Offering transaction costs</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FFCC"/>
            </w:tcBorders>
            <w:shd w:val="clear" w:color="auto" w:fill="CCFFCC"/>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2,520</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7,476</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35,685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Cash paid (refunded) during the period for: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Income taxes, net of refunds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2013</w:t>
      </w:r>
    </w:p>
    <w:p>
      <w:pPr>
        <w:spacing w:after="0" w:line="225" w:lineRule="exact"/>
        <w:rPr>
          <w:sz w:val="20"/>
          <w:szCs w:val="20"/>
          <w:color w:val="auto"/>
        </w:rPr>
      </w:pPr>
    </w:p>
    <w:p>
      <w:pPr>
        <w:jc w:val="both"/>
        <w:ind w:left="4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3 thousand shares for $7 in exercise costs and withholding 321 thousand shares for $712 in statutory minimum payroll taxes, a net 505 thousand shares of common stock were issued.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to purchase 7 thousand shares of common stock were exercised utilizing various cashless exercise features of our plan and after withholding 3 thousand shares for $9 in exercise costs and withholding 1 thousand shares for $4 in statutory minimum payroll taxes, we issued 3 thousand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2012</w:t>
      </w:r>
    </w:p>
    <w:p>
      <w:pPr>
        <w:spacing w:after="0" w:line="225" w:lineRule="exact"/>
        <w:rPr>
          <w:sz w:val="20"/>
          <w:szCs w:val="20"/>
          <w:color w:val="auto"/>
        </w:rPr>
      </w:pPr>
    </w:p>
    <w:p>
      <w:pPr>
        <w:jc w:val="both"/>
        <w:ind w:left="4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2 thousand shares for $7 in exercise costs and withholding 296 thousand shares for $1,034 in statutory minimum payroll taxes; we issued 531 thousand shares of common stock.</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to purchase 17 thousand shares of common stock were exercised utilizing various cashless exercise features of our plan and after withholding 7 thousand shares for $22 in exercise costs and withholding 3 thousand shares for $12 in statutory minimum payroll taxes, we issued 7 thousand shares of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We have also developed our Impede® Technology which is a combination of inactive ingredients that are intended to prevent the extraction of pseudoephedrine from tablets and disrupt the direct conversion of pseudoephedrine from tablets into methamphetamine. In late December 2012 we launched in the United States, Nexafed® (pseudoephedrine HC1) tablets formulated with our Impede Technology.</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three and nine months ended September 30, 2013 are not necessarily indicative of results expected for the full year ending December 31, 2013. These unaudited consolidated financial statements should be read in conjunction with the audited consolidated financial statements and footnotes thereto for the year ended December 31, 2012 included in the Company's Annual Report on Form 10-K filed with the Securities and Exchange Commission. The 2012 year-end consolidated balance sheet presented in this Report was derived from the Company’s 2012 year-end audited consolidated financial statements, but does not include all disclosures required by generally accepted accounting principles.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RESEARCH AND DEVELOPMENT ACTIVITIES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At September 30, 2013 we had $0.4 million in prepaid CRO costs.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had $76 thousand accrued for CRO and clinical trial study expenses at September 30, 2013. We had no accrued costs at December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Nexafed was launched in mid-December 2012. The Company sells Nexafed in the United States to wholesale pharmaceutical distributors and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to certain customers. Accordingly, the Company has deferred revenue recognition on Nexafed shipments of $71 thousand since the product’s launch to these customers until the right of return no longer exists or adequate history and information is available to estimate product returns.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a License, Development, and Commercialization Agreement dated October 30, 2007 with King Pharmaceuticals Research and Development, Inc., now a subsidiary of Pfizer Inc. (the “Pfizer Agreement”). Commencing in February 2013, we began earning royalties based on net sales of Oxecta by Pfizer. Such royalties are paid to us within 45 days after the end of each calendar quarter. We have recorded royalties of approximately $8 thousand for the nine month period ended September 30, 2013 on Oxecta’s net sales of approximately $165 thousand.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shipping and handling costs in selling expenses. The costs recorded to selling expenses from the shipments of Nexafed during the nine month period ended September 30, 2013 were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LICENSE, DEVELOPMENT, AND COMMERCIALIZATION AGREEMENT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30, 2007, we and King Pharmaceuticals Research and Development, Inc., now a wholly-owned subsidiary of Pfizer, entered into the Pfizer Agreement to develop and commercialize in the United States, Canada and Mexico, or the Pfizer Territories, certain opioid analgesic products utilizing our proprietary Aversion Technology. Oxecta was approved on June 17, 2011 and sales of Oxecta by Pfizer commenced February 2012. For Oxecta sales occurring on and following February 2, 2013 (the one year anniversary of the first commercial sale of Oxecta), Pfizer will pay us a royalty of 5% of net sales for Oxecta. The applicable royalty rate for Oxecta net sales payable under the Pfizer Agreement increases if net sales exceed certain specified thresholds. On September 24, 2012, we entered into a letter agreement with Pfizer which amended the Pfizer Agreement and provided for the termination of Pfizer’s license to our Aversion® Technology used in the three development-stage products licensed to Pfizer and for the transfer of these products back to us. These development-stage products were hydrocodone bitartrate/acetaminophen tablets, oxycodone HCl/acetaminophen tablets and an undisclosed opioid.</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Pfizer’s royalty payment obligations for Oxecta expire on a country-by-country basis upon the later of (i) the expiration of the last valid patent claim covering Oxecta in such country, or (ii) 15 years from the first commercial sale of Oxecta in such country. No minimum annual fees are payable by either party under the Pfizer Agreement. If Pfizer, after consultation with us, enters into a license agreement with a third party to avoid or settle such third party’s allegations or claims regarding freedom to operate against Oxecta, Pfizer may deduct 50% of any royalties or other license payments it pays to such third party under such license, provided that the royalties payable to us are no less than 80% of the royalties otherwise due to us under the Pfizer Agreement.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Pfizer Agreement expires upon the expiration of Pfizer’s royalty payment and other payment obligations under the Pfizer Agreement. Pfizer may terminate the Pfizer Agreement in its entirety at any time by written notice to us. We may terminate the Pfizer Agreement in its entirety if Pfizer commences any interference or opposition proceeding challenging the validity or enforceability of any of our patent rights licensed to Pfizer under the Pfizer Agreement. Either party has the right to terminate the Pfizer Agreement on a country-by-country basis if the other party is in material breach of its obligations under the Pfizer Agreement relating to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of termination, no payments are due except those royalties and milestones that have accrued prior to termination under the Pfizer Agreement and all licenses under the Pfizer Agreement are terminated. For all Acura terminations and termination by Pfizer where we are not in breach, the Pfizer Agreement provides for the transition of development and marketing of the licensed products from Pfizer to us, including the conveyance by Pfizer to us of the trademarks and all regulatory filings and approvals solely used in connection with the commercialization of such licensed products and, in certain cases, for Pfizer’s supply of such licensed products for a transitional period at Pfizer’s cost plus a mark-up.</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400"/>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about September 17, 2012, we believe the FDA internally changed the status of Oxecta to be considered a Reference Listed Drug, or RLD. An RLD is the standard to which all generic versions must be shown to be bioequivalent and a drug company seeking approval to market a generic equivalent must refer to the RLD. By designating Oxecta as an RLD, the FDA was allowed to accept ANDAs referencing Oxecta.</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20, 2012, we received a Paragraph IV Certification Notice under 21 U.S.C. 355(j) (a Paragraph IV Notice) from a generic sponsor seeking FDA approval to market a generic version of Oxecta. Since such date, we have received similar Paragraph IV Notices from four other generic pharmaceutical companies. The Paragraph IV Notices refer to our U.S. Patent Numbers 7,201,920, 7,510,726 and 7,981,439, which cover our Aversion Technology and Oxecta and are listed in the FDA Orange Book. The Paragraph IV Notices state that each generic sponsor believes that such patents are invalid, unenforceable or not infringed. Pfizer, Acura’s licensee for Oxecta, has advised us that they will not exercise their first right under the Pfizer Agreement to control the enforcement of the ANDA litigation against the generic sponsors. As a result, on October 31, 2012, we initiated suit against each of Watson Laboratories, Inc. – Florida (“Watson”), Par Pharmaceutical, Inc. (“Par”), Impax Laboratories, Inc. (“Impax”), and Sandoz Inc. (“Sandoz”), and on April 29, 2013 we initiated suit against Ranbaxy Pharmaceuticals, Inc., each in the United States District Court for the District of Delaware alleging infringement of our U.S. Patent No. 7,510,726. The commencement of such litigation prohibits the FDA from granting approval of the filed ANDAs until the earliest of 30 months from the date Acura received notice of the first Paragraph IV certification, or the conclusion of litigation. The litigation is in its early stages. If any subsequent infringement suit is initiated in Delaware, it is likely that the suit would be consolidated with the current action.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 2013, the court granted our motion to dismiss the suit against Watson on the grounds that Watson had amended its ANDA from a Paragraph IV certification to Paragraph III, which indicated its intent not to market its product in advance of our patents expiring.</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Oxecta® product for which each of Par and Impax is separately seeking approval to market in the United States pursuant to an ANDA filing with the FDA infringes a U.S. patent owned by us. Par is the first filer of an ANDA for a generic Oxecta® product and is entitled to the 180-day first filer exclusivity under applicable law and FDA regulations.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Oxecta®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Oxecta®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Oxecta® product in the U.S., through the grant of a non-exclusive, royalty-free license from us that would trigger 180 days following the first sale of a generic Oxecta® product in the U.S. by an entity that is entitled to the 180 day first-filer exclusivity under applicable law and FDA regulations (or if no entity is entitled to such 180 day exclusivity period, the date on which a generic Oxecta®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Settlement Agreements provide for a full settlement of all claims that were asserted in each of the Par and Impax suits, subject to the Court’s acceptance of the stipulations of dismissal. As required by law, the Settlement Agreements with Par and Impax have been submitted to the U.S. Federal Trade Commission (“FTC”) and U.S. Department of Justice (“DOJ”). There can be no assurance that the FTC and/or the DOJ will not raise objections to, or request modifications to, the Settlement Agreements; that such modifications will be acceptable to the parties; or that the Settlement will continue to be effective.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The Settlement Agreements with Par and Impax do not affect the status of our separate Oxecta patent litigations against Sandoz Inc. and Ranbaxy Inc. pending in the United States District Court for the District of Delaware.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 2013, the USPTO issued U.S. Patent No. 8,409,616 with claims directed at our Aversion Technology. This patent was listed in FDA’s Orange Book on April 22, 2013 which will require all of the Paragraph IV ANDA filers to decide whether to amend their Paragraph IV certifications to include this newly issued patent. Ranbaxy has certified Paragraph IV against the ‘616 patent asserting that the ‘616 patent is either invalid or unenforceable or that their generic product will not infringe the claims of the patent.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Litigation is inherently uncertain and we cannot predict the outcome of these infringement actions. If Sandoz and/or Ranbaxy prevails in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these infringement actions that our patents covering our Aversion Technology and Oxecta are invalid or unenforceable, in whole or in part, or that the products covered by generic sponsors’ ANDAs do not infringe our patents, could materially adversely affect the Company’s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accounts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September 30, 2013 and December 31, 2012,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Our NOL carryforwards will expire in varying amounts between 2013 and 2031 if not used, and those expirations will cause fluctuations in our valuation allowances.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NOTE 6 – INVESTMENTS IN MARKETABLE SECURITIES</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color w:val="auto"/>
                <w:w w:val="93"/>
              </w:rPr>
              <w:t>September 30, 2013</w:t>
            </w:r>
          </w:p>
        </w:tc>
        <w:tc>
          <w:tcPr>
            <w:tcW w:w="2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w w:val="96"/>
              </w:rPr>
              <w:t>December 31, 2012</w:t>
            </w:r>
          </w:p>
        </w:tc>
      </w:tr>
      <w:tr>
        <w:trPr>
          <w:trHeight w:val="210"/>
        </w:trPr>
        <w:tc>
          <w:tcPr>
            <w:tcW w:w="660" w:type="dxa"/>
            <w:vAlign w:val="bottom"/>
          </w:tcPr>
          <w:p>
            <w:pPr>
              <w:spacing w:after="0"/>
              <w:rPr>
                <w:sz w:val="18"/>
                <w:szCs w:val="18"/>
                <w:color w:val="auto"/>
              </w:rPr>
            </w:pPr>
          </w:p>
        </w:tc>
        <w:tc>
          <w:tcPr>
            <w:tcW w:w="5780" w:type="dxa"/>
            <w:vAlign w:val="bottom"/>
            <w:tcBorders>
              <w:bottom w:val="single" w:sz="8" w:color="CCFFCC"/>
            </w:tcBorders>
          </w:tcPr>
          <w:p>
            <w:pPr>
              <w:spacing w:after="0"/>
              <w:rPr>
                <w:sz w:val="18"/>
                <w:szCs w:val="18"/>
                <w:color w:val="auto"/>
              </w:rPr>
            </w:pPr>
          </w:p>
        </w:tc>
        <w:tc>
          <w:tcPr>
            <w:tcW w:w="15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CCFFCC"/>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Marketable securities:</w:t>
            </w:r>
          </w:p>
        </w:tc>
        <w:tc>
          <w:tcPr>
            <w:tcW w:w="15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Corporate bonds — maturing within 1 year</w:t>
            </w:r>
          </w:p>
        </w:tc>
        <w:tc>
          <w:tcPr>
            <w:tcW w:w="176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7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Corporate bonds — maturing after 1 through 4 years</w:t>
            </w:r>
          </w:p>
        </w:tc>
        <w:tc>
          <w:tcPr>
            <w:tcW w:w="15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FFCC"/>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Pooled investment fund</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7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Exchange-traded funds</w:t>
            </w:r>
          </w:p>
        </w:tc>
        <w:tc>
          <w:tcPr>
            <w:tcW w:w="158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FFCC"/>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Total marketable securities</w:t>
            </w:r>
          </w:p>
        </w:tc>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 as they may be sold within one year in response to changes in market prices or interest rates, to realign our investment concentrations or to meet our working capital needs.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 (in millions):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left="332"/>
              <w:spacing w:after="0"/>
              <w:rPr>
                <w:sz w:val="20"/>
                <w:szCs w:val="20"/>
                <w:color w:val="auto"/>
              </w:rPr>
            </w:pPr>
            <w:r>
              <w:rPr>
                <w:rFonts w:ascii="Arial" w:cs="Arial" w:eastAsia="Arial" w:hAnsi="Arial"/>
                <w:sz w:val="18"/>
                <w:szCs w:val="18"/>
                <w:color w:val="auto"/>
                <w:w w:val="88"/>
              </w:rPr>
              <w:t>September 30, 2013</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ind w:left="332"/>
              <w:spacing w:after="0"/>
              <w:rPr>
                <w:sz w:val="20"/>
                <w:szCs w:val="20"/>
                <w:color w:val="auto"/>
              </w:rPr>
            </w:pPr>
            <w:r>
              <w:rPr>
                <w:rFonts w:ascii="Arial" w:cs="Arial" w:eastAsia="Arial" w:hAnsi="Arial"/>
                <w:sz w:val="18"/>
                <w:szCs w:val="18"/>
                <w:color w:val="auto"/>
                <w:w w:val="96"/>
              </w:rPr>
              <w:t>(in millions)</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92"/>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87"/>
              </w:rPr>
              <w:t>Gross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92"/>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Unrealized</w:t>
            </w: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w:t>
            </w:r>
          </w:p>
        </w:tc>
      </w:tr>
      <w:tr>
        <w:trPr>
          <w:trHeight w:val="230"/>
        </w:trPr>
        <w:tc>
          <w:tcPr>
            <w:tcW w:w="2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Cost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left="92"/>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left="290"/>
              <w:spacing w:after="0"/>
              <w:rPr>
                <w:sz w:val="20"/>
                <w:szCs w:val="20"/>
                <w:color w:val="auto"/>
              </w:rPr>
            </w:pPr>
            <w:r>
              <w:rPr>
                <w:rFonts w:ascii="Arial" w:cs="Arial" w:eastAsia="Arial" w:hAnsi="Arial"/>
                <w:sz w:val="18"/>
                <w:szCs w:val="18"/>
                <w:color w:val="auto"/>
                <w:w w:val="84"/>
              </w:rPr>
              <w:t>Losses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r>
      <w:tr>
        <w:trPr>
          <w:trHeight w:val="210"/>
        </w:trPr>
        <w:tc>
          <w:tcPr>
            <w:tcW w:w="2480" w:type="dxa"/>
            <w:vAlign w:val="bottom"/>
            <w:tcBorders>
              <w:top w:val="single" w:sz="8" w:color="CCFFCC"/>
            </w:tcBorders>
            <w:shd w:val="clear" w:color="auto" w:fill="CCFFCC"/>
          </w:tcPr>
          <w:p>
            <w:pPr>
              <w:jc w:val="right"/>
              <w:ind w:right="1050"/>
              <w:spacing w:after="0"/>
              <w:rPr>
                <w:sz w:val="20"/>
                <w:szCs w:val="20"/>
                <w:color w:val="auto"/>
              </w:rPr>
            </w:pPr>
            <w:r>
              <w:rPr>
                <w:rFonts w:ascii="Arial" w:cs="Arial" w:eastAsia="Arial" w:hAnsi="Arial"/>
                <w:sz w:val="18"/>
                <w:szCs w:val="18"/>
                <w:color w:val="auto"/>
                <w:w w:val="91"/>
              </w:rPr>
              <w:t>Available-for-sale:</w:t>
            </w:r>
          </w:p>
        </w:tc>
        <w:tc>
          <w:tcPr>
            <w:tcW w:w="840" w:type="dxa"/>
            <w:vAlign w:val="bottom"/>
            <w:tcBorders>
              <w:top w:val="single" w:sz="8" w:color="auto"/>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4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11.0</w:t>
            </w:r>
          </w:p>
        </w:tc>
        <w:tc>
          <w:tcPr>
            <w:tcW w:w="118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16"/>
        </w:trPr>
        <w:tc>
          <w:tcPr>
            <w:tcW w:w="24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Pooled investment fund</w:t>
            </w:r>
          </w:p>
        </w:tc>
        <w:tc>
          <w:tcPr>
            <w:tcW w:w="84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FFCC"/>
          </w:tcPr>
          <w:p>
            <w:pPr>
              <w:spacing w:after="0"/>
              <w:rPr>
                <w:sz w:val="18"/>
                <w:szCs w:val="18"/>
                <w:color w:val="auto"/>
              </w:rPr>
            </w:pPr>
          </w:p>
        </w:tc>
      </w:tr>
      <w:tr>
        <w:trPr>
          <w:trHeight w:val="216"/>
        </w:trPr>
        <w:tc>
          <w:tcPr>
            <w:tcW w:w="248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Exchange-traded funds</w:t>
            </w: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FFC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FFCC"/>
            </w:tcBorders>
          </w:tcPr>
          <w:p>
            <w:pPr>
              <w:spacing w:after="0"/>
              <w:rPr>
                <w:sz w:val="18"/>
                <w:szCs w:val="18"/>
                <w:color w:val="auto"/>
              </w:rPr>
            </w:pPr>
          </w:p>
        </w:tc>
      </w:tr>
      <w:tr>
        <w:trPr>
          <w:trHeight w:val="210"/>
        </w:trPr>
        <w:tc>
          <w:tcPr>
            <w:tcW w:w="2480" w:type="dxa"/>
            <w:vAlign w:val="bottom"/>
            <w:shd w:val="clear" w:color="auto" w:fill="CCFFCC"/>
          </w:tcPr>
          <w:p>
            <w:pPr>
              <w:jc w:val="right"/>
              <w:ind w:right="1050"/>
              <w:spacing w:after="0"/>
              <w:rPr>
                <w:sz w:val="20"/>
                <w:szCs w:val="20"/>
                <w:color w:val="auto"/>
              </w:rPr>
            </w:pPr>
            <w:r>
              <w:rPr>
                <w:rFonts w:ascii="Arial" w:cs="Arial" w:eastAsia="Arial" w:hAnsi="Arial"/>
                <w:sz w:val="18"/>
                <w:szCs w:val="18"/>
                <w:color w:val="auto"/>
              </w:rPr>
              <w:t>Total - Current</w:t>
            </w:r>
          </w:p>
        </w:tc>
        <w:tc>
          <w:tcPr>
            <w:tcW w:w="840" w:type="dxa"/>
            <w:vAlign w:val="bottom"/>
            <w:tcBorders>
              <w:bottom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6"/>
              </w:rPr>
              <w:t>16.9</w:t>
            </w:r>
          </w:p>
        </w:tc>
        <w:tc>
          <w:tcPr>
            <w:tcW w:w="100" w:type="dxa"/>
            <w:vAlign w:val="bottom"/>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ind w:right="912"/>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FFCC"/>
          </w:tcPr>
          <w:p>
            <w:pPr>
              <w:spacing w:after="0"/>
              <w:rPr>
                <w:sz w:val="18"/>
                <w:szCs w:val="18"/>
                <w:color w:val="auto"/>
              </w:rPr>
            </w:pPr>
          </w:p>
        </w:tc>
      </w:tr>
      <w:tr>
        <w:trPr>
          <w:trHeight w:val="426"/>
        </w:trPr>
        <w:tc>
          <w:tcPr>
            <w:tcW w:w="24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332"/>
              <w:spacing w:after="0"/>
              <w:rPr>
                <w:sz w:val="20"/>
                <w:szCs w:val="20"/>
                <w:color w:val="auto"/>
              </w:rPr>
            </w:pPr>
            <w:r>
              <w:rPr>
                <w:rFonts w:ascii="Arial" w:cs="Arial" w:eastAsia="Arial" w:hAnsi="Arial"/>
                <w:sz w:val="18"/>
                <w:szCs w:val="18"/>
                <w:color w:val="auto"/>
                <w:w w:val="88"/>
              </w:rPr>
              <w:t>December 31, 2012</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4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ind w:left="332"/>
              <w:spacing w:after="0"/>
              <w:rPr>
                <w:sz w:val="20"/>
                <w:szCs w:val="20"/>
                <w:color w:val="auto"/>
              </w:rPr>
            </w:pPr>
            <w:r>
              <w:rPr>
                <w:rFonts w:ascii="Arial" w:cs="Arial" w:eastAsia="Arial" w:hAnsi="Arial"/>
                <w:sz w:val="18"/>
                <w:szCs w:val="18"/>
                <w:color w:val="auto"/>
                <w:w w:val="96"/>
              </w:rPr>
              <w:t>(in millions)</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92"/>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87"/>
              </w:rPr>
              <w:t>Gross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92"/>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Unrealized</w:t>
            </w: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w:t>
            </w:r>
          </w:p>
        </w:tc>
      </w:tr>
      <w:tr>
        <w:trPr>
          <w:trHeight w:val="230"/>
        </w:trPr>
        <w:tc>
          <w:tcPr>
            <w:tcW w:w="2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Cost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left="92"/>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left="290"/>
              <w:spacing w:after="0"/>
              <w:rPr>
                <w:sz w:val="20"/>
                <w:szCs w:val="20"/>
                <w:color w:val="auto"/>
              </w:rPr>
            </w:pPr>
            <w:r>
              <w:rPr>
                <w:rFonts w:ascii="Arial" w:cs="Arial" w:eastAsia="Arial" w:hAnsi="Arial"/>
                <w:sz w:val="18"/>
                <w:szCs w:val="18"/>
                <w:color w:val="auto"/>
                <w:w w:val="84"/>
              </w:rPr>
              <w:t>Losses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r>
      <w:tr>
        <w:trPr>
          <w:trHeight w:val="210"/>
        </w:trPr>
        <w:tc>
          <w:tcPr>
            <w:tcW w:w="2480" w:type="dxa"/>
            <w:vAlign w:val="bottom"/>
            <w:tcBorders>
              <w:top w:val="single" w:sz="8" w:color="CCFFCC"/>
            </w:tcBorders>
            <w:shd w:val="clear" w:color="auto" w:fill="CCFFCC"/>
          </w:tcPr>
          <w:p>
            <w:pPr>
              <w:jc w:val="right"/>
              <w:ind w:right="1050"/>
              <w:spacing w:after="0"/>
              <w:rPr>
                <w:sz w:val="20"/>
                <w:szCs w:val="20"/>
                <w:color w:val="auto"/>
              </w:rPr>
            </w:pPr>
            <w:r>
              <w:rPr>
                <w:rFonts w:ascii="Arial" w:cs="Arial" w:eastAsia="Arial" w:hAnsi="Arial"/>
                <w:sz w:val="18"/>
                <w:szCs w:val="18"/>
                <w:color w:val="auto"/>
                <w:w w:val="91"/>
              </w:rPr>
              <w:t>Available-for-sale:</w:t>
            </w:r>
          </w:p>
        </w:tc>
        <w:tc>
          <w:tcPr>
            <w:tcW w:w="840" w:type="dxa"/>
            <w:vAlign w:val="bottom"/>
            <w:tcBorders>
              <w:top w:val="single" w:sz="8" w:color="auto"/>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48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118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2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Pooled investment fund</w:t>
            </w:r>
          </w:p>
        </w:tc>
        <w:tc>
          <w:tcPr>
            <w:tcW w:w="84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FFCC"/>
          </w:tcPr>
          <w:p>
            <w:pPr>
              <w:spacing w:after="0"/>
              <w:rPr>
                <w:sz w:val="18"/>
                <w:szCs w:val="18"/>
                <w:color w:val="auto"/>
              </w:rPr>
            </w:pPr>
          </w:p>
        </w:tc>
      </w:tr>
      <w:tr>
        <w:trPr>
          <w:trHeight w:val="216"/>
        </w:trPr>
        <w:tc>
          <w:tcPr>
            <w:tcW w:w="24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Exchange-traded funds</w:t>
            </w: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FFC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FFCC"/>
            </w:tcBorders>
          </w:tcPr>
          <w:p>
            <w:pPr>
              <w:spacing w:after="0"/>
              <w:rPr>
                <w:sz w:val="18"/>
                <w:szCs w:val="18"/>
                <w:color w:val="auto"/>
              </w:rPr>
            </w:pPr>
          </w:p>
        </w:tc>
      </w:tr>
      <w:tr>
        <w:trPr>
          <w:trHeight w:val="210"/>
        </w:trPr>
        <w:tc>
          <w:tcPr>
            <w:tcW w:w="2480" w:type="dxa"/>
            <w:vAlign w:val="bottom"/>
            <w:shd w:val="clear" w:color="auto" w:fill="CCFFCC"/>
          </w:tcPr>
          <w:p>
            <w:pPr>
              <w:jc w:val="right"/>
              <w:ind w:right="1050"/>
              <w:spacing w:after="0"/>
              <w:rPr>
                <w:sz w:val="20"/>
                <w:szCs w:val="20"/>
                <w:color w:val="auto"/>
              </w:rPr>
            </w:pPr>
            <w:r>
              <w:rPr>
                <w:rFonts w:ascii="Arial" w:cs="Arial" w:eastAsia="Arial" w:hAnsi="Arial"/>
                <w:sz w:val="18"/>
                <w:szCs w:val="18"/>
                <w:color w:val="auto"/>
              </w:rPr>
              <w:t>Total - Current</w:t>
            </w:r>
          </w:p>
        </w:tc>
        <w:tc>
          <w:tcPr>
            <w:tcW w:w="840" w:type="dxa"/>
            <w:vAlign w:val="bottom"/>
            <w:tcBorders>
              <w:bottom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6"/>
              </w:rPr>
              <w:t>20.0</w:t>
            </w:r>
          </w:p>
        </w:tc>
        <w:tc>
          <w:tcPr>
            <w:tcW w:w="100" w:type="dxa"/>
            <w:vAlign w:val="bottom"/>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ind w:right="912"/>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(0.1)</w:t>
            </w:r>
          </w:p>
        </w:tc>
        <w:tc>
          <w:tcPr>
            <w:tcW w:w="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 We had no liabilities at September 30, 2013 meeting fair value measurement.</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assets measured at fair value or disclosed at fair value on a recurring basis as at September 30, 2013 and December 31, 2012 consisted of the following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88"/>
              </w:rPr>
              <w:t>September 30, 2013</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96"/>
              </w:rPr>
              <w:t>(in millions)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Level 3</w:t>
            </w:r>
          </w:p>
        </w:tc>
        <w:tc>
          <w:tcPr>
            <w:tcW w:w="1820" w:type="dxa"/>
            <w:vAlign w:val="bottom"/>
            <w:gridSpan w:val="2"/>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4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Pooled investment fund</w:t>
            </w:r>
          </w:p>
        </w:tc>
        <w:tc>
          <w:tcPr>
            <w:tcW w:w="860" w:type="dxa"/>
            <w:vAlign w:val="bottom"/>
            <w:shd w:val="clear" w:color="auto" w:fill="CCFFCC"/>
          </w:tcPr>
          <w:p>
            <w:pPr>
              <w:spacing w:after="0"/>
              <w:rPr>
                <w:sz w:val="18"/>
                <w:szCs w:val="18"/>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8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Exchange-traded funds</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4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FFCC"/>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1"/>
              </w:rPr>
              <w:t>16.9</w:t>
            </w:r>
          </w:p>
        </w:tc>
        <w:tc>
          <w:tcPr>
            <w:tcW w:w="10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426"/>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88"/>
              </w:rPr>
              <w:t>December 31, 2012</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96"/>
              </w:rPr>
              <w:t>(in millions)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Level 3</w:t>
            </w:r>
          </w:p>
        </w:tc>
        <w:tc>
          <w:tcPr>
            <w:tcW w:w="1820" w:type="dxa"/>
            <w:vAlign w:val="bottom"/>
            <w:gridSpan w:val="2"/>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4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Pooled investment fund</w:t>
            </w:r>
          </w:p>
        </w:tc>
        <w:tc>
          <w:tcPr>
            <w:tcW w:w="860" w:type="dxa"/>
            <w:vAlign w:val="bottom"/>
            <w:shd w:val="clear" w:color="auto" w:fill="CCFFCC"/>
          </w:tcPr>
          <w:p>
            <w:pPr>
              <w:spacing w:after="0"/>
              <w:rPr>
                <w:sz w:val="18"/>
                <w:szCs w:val="18"/>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8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Exchange-traded funds</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FFCC"/>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1"/>
              </w:rPr>
              <w:t>19.9</w:t>
            </w:r>
          </w:p>
        </w:tc>
        <w:tc>
          <w:tcPr>
            <w:tcW w:w="10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682"/>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8"/>
        </w:trPr>
        <w:tc>
          <w:tcPr>
            <w:tcW w:w="1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on marketable securities consisted of cumulative unrealized gains of $46 thousand at September 30, 2013 and $40 thousand of cumulative unrealized losses at December 31, 2012.</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Comprehensive income (loss) includes all changes in equity during a period except those that resulted from investments by or distributions to the Company’s stockholders. Other comprehensive income (loss) refers to revenues, expenses, gains and losses that, under GAAP, are included in comprehensive income (loss), but excluded from net income (loss) as these amounts are recorded directly as an adjustment to stockholders’ equity. Acura’s other comprehensive income (loss) is composed of unrealized gains (losses) on certain holdings of marketable securities, net of any realized gains (losses) included in net income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Inventories consist of finished goods held for sale and distribution on our Nexafed product. Inventories are stated at the lower of cost (first-in, first-out method) or market (net realizable value). The Company writes down inventories to net realizable value based on forecasted demand and market conditions, which may differ from actual results. Our gross inventory is valued at $0.7 million and $0.2 million at September 30, 2013 and December 31, 2012, respectively. We have established an inventory reserve of $0.4 million which results in a net reported inventory value of $0.3 million at September 30, 2013. We did not have an inventory reserve at December 31, 2012. The related cost of sales on the $71 thousand deferred revenue from Nexafed shipments since the product’s launch is excluded from the value of the September 30, 2013 inventory and is reported in our Balance Sheet in the other current deferred assets account until the right of return no longer exists or adequate history and information is available to estimate product returns on the product shipments. Our purchases of active pharmaceutical ingredients and raw materials required for our development and clinical trial manufacture of product candidates utilizing our Aversion or Impede Technologies are expensed as incurred.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NOTE 8 - ACCRUED EXPENSES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8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 (in thousands):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r>
      <w:tr>
        <w:trPr>
          <w:trHeight w:val="230"/>
        </w:trPr>
        <w:tc>
          <w:tcPr>
            <w:tcW w:w="1720" w:type="dxa"/>
            <w:vAlign w:val="bottom"/>
          </w:tcPr>
          <w:p>
            <w:pPr>
              <w:spacing w:after="0"/>
              <w:rPr>
                <w:sz w:val="20"/>
                <w:szCs w:val="20"/>
                <w:color w:val="auto"/>
              </w:rPr>
            </w:pPr>
          </w:p>
        </w:tc>
        <w:tc>
          <w:tcPr>
            <w:tcW w:w="506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Payroll, payroll taxes, bonus and benefits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Property taxes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Contract manufacturing services</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Clinical and regulatory services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Other fees and services</w:t>
            </w:r>
          </w:p>
        </w:tc>
        <w:tc>
          <w:tcPr>
            <w:tcW w:w="120" w:type="dxa"/>
            <w:vAlign w:val="bottom"/>
            <w:tcBorders>
              <w:bottom w:val="single" w:sz="8" w:color="auto"/>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FFCC"/>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share-based compensation plans covering stock options and Restricted Stock Units (“RSU”) for our employees and directors.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Our share-based compensation expense recognized in the Company’s results of operations for the period is shown below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0" w:type="dxa"/>
            <w:vAlign w:val="bottom"/>
            <w:gridSpan w:val="4"/>
          </w:tcPr>
          <w:p>
            <w:pPr>
              <w:jc w:val="right"/>
              <w:ind w:right="65"/>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center"/>
              <w:ind w:right="400"/>
              <w:spacing w:after="0"/>
              <w:rPr>
                <w:sz w:val="20"/>
                <w:szCs w:val="20"/>
                <w:color w:val="auto"/>
              </w:rPr>
            </w:pPr>
            <w:r>
              <w:rPr>
                <w:rFonts w:ascii="Arial" w:cs="Arial" w:eastAsia="Arial" w:hAnsi="Arial"/>
                <w:sz w:val="18"/>
                <w:szCs w:val="18"/>
                <w:color w:val="auto"/>
                <w:w w:val="92"/>
              </w:rPr>
              <w:t>Nine Months Ended</w:t>
            </w:r>
          </w:p>
        </w:tc>
      </w:tr>
      <w:tr>
        <w:trPr>
          <w:trHeight w:val="216"/>
        </w:trPr>
        <w:tc>
          <w:tcPr>
            <w:tcW w:w="3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0" w:type="dxa"/>
            <w:vAlign w:val="bottom"/>
            <w:gridSpan w:val="4"/>
          </w:tcPr>
          <w:p>
            <w:pPr>
              <w:jc w:val="right"/>
              <w:ind w:right="305"/>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center"/>
              <w:ind w:right="380"/>
              <w:spacing w:after="0"/>
              <w:rPr>
                <w:sz w:val="20"/>
                <w:szCs w:val="20"/>
                <w:color w:val="auto"/>
              </w:rPr>
            </w:pPr>
            <w:r>
              <w:rPr>
                <w:rFonts w:ascii="Arial" w:cs="Arial" w:eastAsia="Arial" w:hAnsi="Arial"/>
                <w:sz w:val="18"/>
                <w:szCs w:val="18"/>
                <w:color w:val="auto"/>
                <w:w w:val="91"/>
              </w:rPr>
              <w:t>September 30,</w:t>
            </w:r>
          </w:p>
        </w:tc>
      </w:tr>
      <w:tr>
        <w:trPr>
          <w:trHeight w:val="230"/>
        </w:trPr>
        <w:tc>
          <w:tcPr>
            <w:tcW w:w="344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r>
      <w:tr>
        <w:trPr>
          <w:trHeight w:val="210"/>
        </w:trPr>
        <w:tc>
          <w:tcPr>
            <w:tcW w:w="3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Stock options</w:t>
            </w:r>
          </w:p>
        </w:tc>
        <w:tc>
          <w:tcPr>
            <w:tcW w:w="136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0" w:type="dxa"/>
            <w:vAlign w:val="bottom"/>
            <w:gridSpan w:val="2"/>
          </w:tcPr>
          <w:p>
            <w:pPr>
              <w:jc w:val="right"/>
              <w:ind w:right="67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96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r>
      <w:tr>
        <w:trPr>
          <w:trHeight w:val="216"/>
        </w:trPr>
        <w:tc>
          <w:tcPr>
            <w:tcW w:w="3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FFCC"/>
          </w:tcPr>
          <w:p>
            <w:pPr>
              <w:spacing w:after="0"/>
              <w:rPr>
                <w:sz w:val="18"/>
                <w:szCs w:val="18"/>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8"/>
                <w:szCs w:val="18"/>
                <w:color w:val="auto"/>
              </w:rPr>
            </w:pPr>
          </w:p>
        </w:tc>
        <w:tc>
          <w:tcPr>
            <w:tcW w:w="840" w:type="dxa"/>
            <w:vAlign w:val="bottom"/>
            <w:tcBorders>
              <w:bottom w:val="single" w:sz="8" w:color="auto"/>
            </w:tcBorders>
          </w:tcPr>
          <w:p>
            <w:pPr>
              <w:jc w:val="right"/>
              <w:ind w:right="67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2013, the Company has stock options issued and outstanding under three stock option plans. The Company’s 1995 and 1998 Stock Option Plans have expired but stock options awarded under such plans remain outstanding under the terms of those plans. The Company’s 2008 Stock Option Plan remains in effect. Absent a change in control, the balance of the vested non-incentive stock options (“NonISO”) granted under the 1998 and 2008 stock option plans may be exercised in equal amounts during each of calendar years 2013 and 2014.</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Exercise of NonISOs by employees may require the Company to make minimum statutory withholding tax (“withholding tax”) payments for such employee on any gain on such shares at the time of exercise. The employee is responsible for providing sufficient funds to the Company to make such withholding tax payments. However, under the Company’s stock option plans, the employee may elect to take a partial distribution of the exercised NonISO shares and have the Company retain the balance of the exercised shares in satisfaction of the employee’s withholding tax payments. In such event, the Company becomes obligated to directly pay the withholding taxes of such employee and will retain a sufficient number of exercised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NonISOs exercised by employees and the closing market price of our common stock at the time of exercise. Such withholding tax will be paid and charged against additional paid in capital as the NonISOs are exercised.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2013, 14 thousand NonISOs were exercised by our employees. Our employees elected to have 4 thousand shares withheld in satisfaction of $14 thousand for both the exercise costs and the withholding tax obligations resulting in the net issuance of 10 thousand common shares to them. During the nine months ended September 30, 2012, 24 thousand NonISOs were exercised by our employees. Our employees elected to have 10 thousand shares withheld in satisfaction of $34 thousand for both the exercise costs and the withholding tax obligations which resulted in the net issuance of 14 thousand common shares to them.</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2013 the Company had $0.7 million of unrecognized share-based compensation expense from stock option grants, which will be recognized in our consolidated financial statements over their remaining vesting periods of the option grants over the next 14 months. Under the provisions of the stock option plans, if a change in control occurs, an acceleration of unvested shares will occur and any remaining unrecognized share-based compensation expense will be recognized in our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Our stock option award activity during the nine months ended September 30, 2013 and 2012 is shown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Nine Months Ended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jc w:val="center"/>
              <w:ind w:right="260"/>
              <w:spacing w:after="0"/>
              <w:rPr>
                <w:sz w:val="20"/>
                <w:szCs w:val="20"/>
                <w:color w:val="auto"/>
              </w:rPr>
            </w:pPr>
            <w:r>
              <w:rPr>
                <w:rFonts w:ascii="Arial" w:cs="Arial" w:eastAsia="Arial" w:hAnsi="Arial"/>
                <w:sz w:val="18"/>
                <w:szCs w:val="18"/>
                <w:color w:val="auto"/>
                <w:w w:val="86"/>
              </w:rPr>
              <w:t>September 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2013</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2012</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(000’s)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(000’s)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Pr>
          <w:p>
            <w:pPr>
              <w:ind w:left="30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00"/>
              <w:spacing w:after="0"/>
              <w:rPr>
                <w:sz w:val="20"/>
                <w:szCs w:val="20"/>
                <w:color w:val="auto"/>
              </w:rPr>
            </w:pPr>
            <w:r>
              <w:rPr>
                <w:rFonts w:ascii="Arial" w:cs="Arial" w:eastAsia="Arial" w:hAnsi="Arial"/>
                <w:sz w:val="18"/>
                <w:szCs w:val="18"/>
                <w:color w:val="auto"/>
              </w:rPr>
              <w:t>Forfeited or expired</w:t>
            </w: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3,282</w:t>
            </w:r>
          </w:p>
        </w:tc>
        <w:tc>
          <w:tcPr>
            <w:tcW w:w="30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9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Options exercisable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Black-Scholes model to determine fair value for the stock option awards granted during the period are show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00" w:type="dxa"/>
            <w:vAlign w:val="bottom"/>
            <w:gridSpan w:val="5"/>
          </w:tcPr>
          <w:p>
            <w:pPr>
              <w:jc w:val="center"/>
              <w:spacing w:after="0"/>
              <w:rPr>
                <w:sz w:val="20"/>
                <w:szCs w:val="20"/>
                <w:color w:val="auto"/>
              </w:rPr>
            </w:pPr>
            <w:r>
              <w:rPr>
                <w:rFonts w:ascii="Arial" w:cs="Arial" w:eastAsia="Arial" w:hAnsi="Arial"/>
                <w:sz w:val="18"/>
                <w:szCs w:val="18"/>
                <w:color w:val="auto"/>
                <w:w w:val="91"/>
              </w:rPr>
              <w:t>Nine Months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8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color w:val="auto"/>
                <w:w w:val="88"/>
              </w:rPr>
              <w:t>September 30,</w:t>
            </w: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FFCC"/>
            </w:tcBorders>
          </w:tcPr>
          <w:p>
            <w:pPr>
              <w:spacing w:after="0"/>
              <w:rPr>
                <w:sz w:val="18"/>
                <w:szCs w:val="18"/>
                <w:color w:val="auto"/>
              </w:rPr>
            </w:pPr>
          </w:p>
        </w:tc>
        <w:tc>
          <w:tcPr>
            <w:tcW w:w="1880" w:type="dxa"/>
            <w:vAlign w:val="bottom"/>
            <w:tcBorders>
              <w:bottom w:val="single" w:sz="8" w:color="CCFFCC"/>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2012</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18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Average volatility</w:t>
            </w:r>
          </w:p>
        </w:tc>
        <w:tc>
          <w:tcPr>
            <w:tcW w:w="18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forfeitures</w:t>
            </w:r>
          </w:p>
        </w:tc>
        <w:tc>
          <w:tcPr>
            <w:tcW w:w="1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Expected holding period</w:t>
            </w:r>
          </w:p>
        </w:tc>
        <w:tc>
          <w:tcPr>
            <w:tcW w:w="18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 years</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10 years</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w:t>
            </w:r>
          </w:p>
        </w:tc>
        <w:tc>
          <w:tcPr>
            <w:tcW w:w="7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RSUs issued and outstanding under a Restricted Stock Unit Award Plan (“2005 RSU Plan”) for its employees and directors. An RSU represents the contingent obligation of the Company to deliver a share of its common stock to the holders of a vested RSU on a specified distribution date. To date, 75% of RSU awards under the 2005 RSU Plan have been distributed. Absent a change of control, the balance of the RSU awards will be distributed on January 1, 2014. Distribution of RSU shares to employees may require the Company to make minimum statutory withholding tax payments for such employees on any gain on such shares at the time of distribution. The employee is responsible for providing sufficient funds to the Company to make such withholding tax payments. However, under the 2005 RSU Plan, the employee may elect to take a partial distribution of shares and have the Company retain the balance of the share distribution in satisfaction of the withholding tax payments. In such event, the Company becomes obligated to directly pay the withholding taxes of such employee and will retain a sufficient number of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RSU shares distributed to employees and the closing market price of our common stock at the time of distribution. Such withholding taxes will be paid and charged against additional paid-in capital as the RSU shares are distributed.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each January 1st of 2013, 2012 and 2011, 0.83 million RSUs were distributed to our employees and directors. Our employees made elections to withhold 0.32 million shares in satisfaction of $0.71 million withholding tax obligations resulted in the net issuance of 0.50 million shares in January 2013. Our employees made elections to withhold 0.30 million shares in satisfaction of $1.0 million withholding tax obligations resulted in the net issuance of 0.53 million shares in January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Plan as of September 30, 2013 and 2012 and for the nine months then ended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480"/>
              <w:spacing w:after="0"/>
              <w:rPr>
                <w:sz w:val="20"/>
                <w:szCs w:val="20"/>
                <w:color w:val="auto"/>
              </w:rPr>
            </w:pPr>
            <w:r>
              <w:rPr>
                <w:rFonts w:ascii="Arial" w:cs="Arial" w:eastAsia="Arial" w:hAnsi="Arial"/>
                <w:sz w:val="18"/>
                <w:szCs w:val="18"/>
                <w:color w:val="auto"/>
                <w:w w:val="91"/>
              </w:rPr>
              <w:t>Nine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2013</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2012</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11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0"/>
              </w:rPr>
              <w:t>Number</w:t>
            </w:r>
          </w:p>
        </w:tc>
        <w:tc>
          <w:tcPr>
            <w:tcW w:w="1240" w:type="dxa"/>
            <w:vAlign w:val="bottom"/>
            <w:gridSpan w:val="2"/>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60" w:type="dxa"/>
            <w:vAlign w:val="bottom"/>
            <w:gridSpan w:val="3"/>
          </w:tcPr>
          <w:p>
            <w:pPr>
              <w:ind w:left="320"/>
              <w:spacing w:after="0"/>
              <w:rPr>
                <w:sz w:val="20"/>
                <w:szCs w:val="20"/>
                <w:color w:val="auto"/>
              </w:rPr>
            </w:pPr>
            <w:r>
              <w:rPr>
                <w:rFonts w:ascii="Arial" w:cs="Arial" w:eastAsia="Arial" w:hAnsi="Arial"/>
                <w:sz w:val="18"/>
                <w:szCs w:val="18"/>
                <w:color w:val="auto"/>
              </w:rPr>
              <w:t>Number</w:t>
            </w: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of Vested</w:t>
            </w:r>
          </w:p>
        </w:tc>
        <w:tc>
          <w:tcPr>
            <w:tcW w:w="1580" w:type="dxa"/>
            <w:vAlign w:val="bottom"/>
            <w:gridSpan w:val="3"/>
          </w:tcPr>
          <w:p>
            <w:pPr>
              <w:ind w:left="340"/>
              <w:spacing w:after="0"/>
              <w:rPr>
                <w:sz w:val="20"/>
                <w:szCs w:val="20"/>
                <w:color w:val="auto"/>
              </w:rPr>
            </w:pPr>
            <w:r>
              <w:rPr>
                <w:rFonts w:ascii="Arial" w:cs="Arial" w:eastAsia="Arial" w:hAnsi="Arial"/>
                <w:sz w:val="18"/>
                <w:szCs w:val="18"/>
                <w:color w:val="auto"/>
              </w:rPr>
              <w:t>Number</w:t>
            </w:r>
          </w:p>
        </w:tc>
        <w:tc>
          <w:tcPr>
            <w:tcW w:w="2320" w:type="dxa"/>
            <w:vAlign w:val="bottom"/>
            <w:gridSpan w:val="3"/>
          </w:tcPr>
          <w:p>
            <w:pPr>
              <w:jc w:val="center"/>
              <w:ind w:right="1460"/>
              <w:spacing w:after="0"/>
              <w:rPr>
                <w:sz w:val="20"/>
                <w:szCs w:val="20"/>
                <w:color w:val="auto"/>
              </w:rPr>
            </w:pPr>
            <w:r>
              <w:rPr>
                <w:rFonts w:ascii="Arial" w:cs="Arial" w:eastAsia="Arial" w:hAnsi="Arial"/>
                <w:sz w:val="18"/>
                <w:szCs w:val="18"/>
                <w:color w:val="auto"/>
                <w:w w:val="86"/>
              </w:rPr>
              <w:t>of Vested</w:t>
            </w:r>
          </w:p>
        </w:tc>
      </w:tr>
      <w:tr>
        <w:trPr>
          <w:trHeight w:val="230"/>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60" w:type="dxa"/>
            <w:vAlign w:val="bottom"/>
            <w:gridSpan w:val="3"/>
          </w:tcPr>
          <w:p>
            <w:pPr>
              <w:ind w:left="320"/>
              <w:spacing w:after="0"/>
              <w:rPr>
                <w:sz w:val="20"/>
                <w:szCs w:val="20"/>
                <w:color w:val="auto"/>
              </w:rPr>
            </w:pPr>
            <w:r>
              <w:rPr>
                <w:rFonts w:ascii="Arial" w:cs="Arial" w:eastAsia="Arial" w:hAnsi="Arial"/>
                <w:sz w:val="18"/>
                <w:szCs w:val="18"/>
                <w:color w:val="auto"/>
              </w:rPr>
              <w:t>of RSUs</w:t>
            </w: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RSUs</w:t>
            </w:r>
          </w:p>
        </w:tc>
        <w:tc>
          <w:tcPr>
            <w:tcW w:w="1580" w:type="dxa"/>
            <w:vAlign w:val="bottom"/>
            <w:gridSpan w:val="3"/>
          </w:tcPr>
          <w:p>
            <w:pPr>
              <w:ind w:left="320"/>
              <w:spacing w:after="0"/>
              <w:rPr>
                <w:sz w:val="20"/>
                <w:szCs w:val="20"/>
                <w:color w:val="auto"/>
              </w:rPr>
            </w:pPr>
            <w:r>
              <w:rPr>
                <w:rFonts w:ascii="Arial" w:cs="Arial" w:eastAsia="Arial" w:hAnsi="Arial"/>
                <w:sz w:val="18"/>
                <w:szCs w:val="18"/>
                <w:color w:val="auto"/>
              </w:rPr>
              <w:t>of RSUs</w:t>
            </w:r>
          </w:p>
        </w:tc>
        <w:tc>
          <w:tcPr>
            <w:tcW w:w="2320" w:type="dxa"/>
            <w:vAlign w:val="bottom"/>
            <w:gridSpan w:val="3"/>
          </w:tcPr>
          <w:p>
            <w:pPr>
              <w:jc w:val="center"/>
              <w:ind w:right="1460"/>
              <w:spacing w:after="0"/>
              <w:rPr>
                <w:sz w:val="20"/>
                <w:szCs w:val="20"/>
                <w:color w:val="auto"/>
              </w:rPr>
            </w:pPr>
            <w:r>
              <w:rPr>
                <w:rFonts w:ascii="Arial" w:cs="Arial" w:eastAsia="Arial" w:hAnsi="Arial"/>
                <w:sz w:val="18"/>
                <w:szCs w:val="18"/>
                <w:color w:val="auto"/>
                <w:w w:val="89"/>
              </w:rPr>
              <w:t>RSUs</w:t>
            </w:r>
          </w:p>
        </w:tc>
      </w:tr>
      <w:tr>
        <w:trPr>
          <w:trHeight w:val="210"/>
        </w:trPr>
        <w:tc>
          <w:tcPr>
            <w:tcW w:w="1160" w:type="dxa"/>
            <w:vAlign w:val="bottom"/>
          </w:tcPr>
          <w:p>
            <w:pPr>
              <w:spacing w:after="0"/>
              <w:rPr>
                <w:sz w:val="18"/>
                <w:szCs w:val="18"/>
                <w:color w:val="auto"/>
              </w:rPr>
            </w:pPr>
          </w:p>
        </w:tc>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Distributed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Forfeited or expired</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Outstanding, ending</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66"/>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10 – EQUITY FINANCING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universal shelf registration statement on Form S-3 was declared effective by the Securities and Exchange Commission (“SEC”) on March 15, 2013. On April 18, 2013, we filed a prospectus supplement with the SEC pursuant to which we may sell shares of our common stock from time to time in “at the market” offerings and certain other transactions, having sales proceeds of up to $13 million. During the three months ended June 30, 2013, we sold approximately 114 thousand shares of our common stock under a Sales Agreement with MLV &amp; Co., our sales agent, through an “at the market” offering, for gross proceeds of approximately $0.25 million. Transaction costs were approximately $8 thousand. During the three months ended September 30, 2013, we sold approximately 1.83 million shares of our common stock for gross proceeds of approximately $3.1 million and transaction costs of approximately $0.1 million. The net proceeds of these transactions for the nine months ending September 30, 2013 were approximately $3.2 million and will be used for general corporate purposes, which may include working capital, capital expenditures, research, development and marketing expenditures and clinical trial expenditures.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outstanding common stock purchase warrants at September 30, 2013 exercisable for 1.9 million shares of common stock, all of which contain a cashless exercise feature. These warrants have an exercise price of $3.40 per share and expiration date of August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 (“EPS”)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EPS is computed by dividing net income or loss by the weighted average common shares outstanding during a period, including shares weighted related to vested RSUs.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These common stock equivalents are excluded from the computation where their inclusion would be anti-dilutive. No such adjustments were made for either 2013 or 2012 as the Company reported a net loss for the three month and nine month periods, and including the effects of these common stock equivalents in the diluted EPS calculation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for the period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8"/>
                <w:szCs w:val="18"/>
                <w:color w:val="auto"/>
              </w:rPr>
            </w:pPr>
          </w:p>
        </w:tc>
        <w:tc>
          <w:tcPr>
            <w:tcW w:w="244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18"/>
                <w:szCs w:val="18"/>
                <w:color w:val="auto"/>
              </w:rPr>
            </w:pPr>
          </w:p>
        </w:tc>
        <w:tc>
          <w:tcPr>
            <w:tcW w:w="244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Borders>
              <w:bottom w:val="single" w:sz="8" w:color="CCFFCC"/>
            </w:tcBorders>
          </w:tcPr>
          <w:p>
            <w:pPr>
              <w:spacing w:after="0"/>
              <w:rPr>
                <w:sz w:val="20"/>
                <w:szCs w:val="20"/>
                <w:color w:val="auto"/>
              </w:rPr>
            </w:pPr>
          </w:p>
        </w:tc>
        <w:tc>
          <w:tcPr>
            <w:tcW w:w="11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EPS – basic and diluted</w:t>
            </w:r>
          </w:p>
        </w:tc>
        <w:tc>
          <w:tcPr>
            <w:tcW w:w="1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Numerator: net loss</w:t>
            </w:r>
          </w:p>
        </w:tc>
        <w:tc>
          <w:tcPr>
            <w:tcW w:w="1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(3,190)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(2,140)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(10,484)</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Denominator:</w:t>
            </w:r>
          </w:p>
        </w:tc>
        <w:tc>
          <w:tcPr>
            <w:tcW w:w="11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Common shares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Vested RSUs</w:t>
            </w:r>
          </w:p>
        </w:tc>
        <w:tc>
          <w:tcPr>
            <w:tcW w:w="118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18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47,458</w:t>
            </w: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47,522</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47,297</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EPS – basic and diluted</w:t>
            </w:r>
          </w:p>
        </w:tc>
        <w:tc>
          <w:tcPr>
            <w:tcW w:w="118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Excluded securities:</w:t>
            </w:r>
          </w:p>
        </w:tc>
        <w:tc>
          <w:tcPr>
            <w:tcW w:w="1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Common shares issuable: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Stock options</w:t>
            </w:r>
          </w:p>
        </w:tc>
        <w:tc>
          <w:tcPr>
            <w:tcW w:w="1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3,282</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3,282</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FFCC"/>
            </w:tcBorders>
          </w:tcPr>
          <w:p>
            <w:pPr>
              <w:ind w:left="120"/>
              <w:spacing w:after="0"/>
              <w:rPr>
                <w:sz w:val="20"/>
                <w:szCs w:val="20"/>
                <w:color w:val="auto"/>
              </w:rPr>
            </w:pPr>
            <w:r>
              <w:rPr>
                <w:rFonts w:ascii="Arial" w:cs="Arial" w:eastAsia="Arial" w:hAnsi="Arial"/>
                <w:sz w:val="18"/>
                <w:szCs w:val="18"/>
                <w:color w:val="auto"/>
              </w:rPr>
              <w:t>Common stock warrants</w:t>
            </w:r>
          </w:p>
        </w:tc>
        <w:tc>
          <w:tcPr>
            <w:tcW w:w="118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 excluded common shares</w:t>
            </w:r>
          </w:p>
        </w:tc>
        <w:tc>
          <w:tcPr>
            <w:tcW w:w="118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5,138</w:t>
            </w:r>
          </w:p>
        </w:tc>
        <w:tc>
          <w:tcPr>
            <w:tcW w:w="12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5,138</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2014 for approximately $25 thousand annually.</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Acura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Philadelphia,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18, 2011, the Philadelphia trial court denied Generic Defendants’ dispositive motion. In December 2011, the Generic Defendants appealed this ruling. On April 13, 2012, all trial court proceedings were stayed pending decisions by the Pennsylvania appellate courts. An adverse decision by the Pennsylvania Superior Court was issued in July 2013. Further appeal proceedings are pending. This appeal process eventually could result in dismissal of all of the Philadelphia cases against all generic defendants including Acura, although there can be no assurance in this regard. Legal fees related to this matter are currently covered by our insurance carrier.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Generics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California trial court also has acknowledged the preemptive effect of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As any potential loss is neither probable nor estimable, we have not accrued for any potential loss related to this matter as of September 30, 2013 and we are presently unable to determine if any potential loss would be covered by our insurance carrier. Legal fees related to this matter are currently covered by our insurance carrier.</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ind w:left="400"/>
        <w:spacing w:after="0"/>
        <w:rPr>
          <w:sz w:val="20"/>
          <w:szCs w:val="20"/>
          <w:color w:val="auto"/>
        </w:rPr>
      </w:pPr>
      <w:r>
        <w:rPr>
          <w:rFonts w:ascii="Arial" w:cs="Arial" w:eastAsia="Arial" w:hAnsi="Arial"/>
          <w:sz w:val="18"/>
          <w:szCs w:val="18"/>
          <w:b w:val="1"/>
          <w:bCs w:val="1"/>
          <w:i w:val="1"/>
          <w:iCs w:val="1"/>
          <w:color w:val="auto"/>
        </w:rPr>
        <w:t>Financial Advisor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August 2007 Unit Offering, we are obligated to pay a fee to our then financial advisor upon each exercise of the warrants issued in the Unit Offering, in proportion to the number of warrants exercised. The amount of the fee assuming 100% exercise of the remaining 1.9 million warrants is $0.38 million. We have not reflected this obligation as a liability in our consolidated financial statements as the payment is contingent upon the timing and exercise of the warrants by each of the warrant holders. Such fee, if any, will be paid to the financial advisor and be offset against the equity proceeds as the warrants are exercised.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discussion and analysis should be read in conjunction with the Company's financial statements and accompanying notes included elsewhere in this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Historical operating results are not necessarily indicative of results in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that the U.S. District Court does not approve the stipulations of dismissal relating to our patent infringement ligation with Par and Impax, that the FTC or DOJ challenge the enforceability of the Settlement Agreements with Par and Impax, or that private plaintiffs challenge the Settlement Agreements with Par and Impax, whether or not additional third parties may seek to market generic versions of Oxecta® and the results of any litigation that we have filed or may file to defend and/or assert our patents against such companies, the possible occurrence of one of the specific events that would result in Par or Impax marketing a generic Oxecta® earlier than we anticipate, the possible approval by the FDA of Sandoz’ or Ranbaxy’s generic Oxecta product prior to the expiry of our patents covering Oxecta, our and our licensee's ability to successfully launch and commercialize our products and technologies including Oxecta® Tablets and Nexafed® Tablets, the price discounting that may be offered by Pfizer for Oxecta, our and our licensee's ability to obtain necessary regulatory approvals and commercialize products utilizing our technologies and the market acceptance of and competitive environment for any of our products, the willingness of wholesalers and pharmacies to stock Nexafed Tablets, expectations regarding potential market share for our products and the timing of first sales, our ability to enter into additional license agreements for our other product candidates, our exposure to product liability and other lawsuits in connection with the commercialization of our products, the increased cost of insurance and the availability of product liability insurance coverage, the ability to avoid infringement of patents, trademarks and other proprietary rights of third parties, and the ability of our patents to protect our products from generic competition, our ability to protect and enforce our patent rights in any paragraph IV patent infringement litigation, and 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to meet over-the-counter, or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and beliefs with respect to future events and are based on assumptions and subject to significant risks and uncertainties. Given these uncertainties, you should not place undue reliance on these forward-looking statements. We discuss many of these risks in greater detail in our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Forward-looking statements speak only as of the date of this Report, and Acura undertakes no obligation to update or revise these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or the Pfizer Agreement. We have also developed our Impede® Technology which is a combination of inactive ingredients that are intended to prevent the extraction of pseudoephedrine from tablets and disrupt the direct conversion of pseudoephedrine from tablets into methamphetamine.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7 additional opioid products utilizing Aversion in various stages of development. Pursuant to a September 24, 2012 letter agreement with Pfizer, all rights to these development-stage opioid products have reverted back to us. Our product containing hydrocodone bitartrate and acetaminophen utilizing the Aversion technology, or hydrocodone/acetaminophen, is the most advanced opioid product in development and the primary focus of our opioid development efforts. Hydrocodone/acetaminophen is the most widely prescribed and often abused opioid product in the United States. Pfizer previously completed a clinical study demonstrating the hydrocodone/acetaminophen product is bioequivalent to its reference listed drug, however we believe the Pfizer product may have contained up to 12% more hydrocodone bitartrate than expected. We have estimated that the Pfizer study would have achieved the bioequivalence standard after adjusting the results for such additional amount of hydrocodone bitartrate. We filed an Investigational New Drug Application, or IND, with the Food and Drug Administration, or FDA, on December 20, 2012, which became effective in late January 2013. On August 26, 2013, we announced the top-line results from Study AP-ADF-301 (“Study 301”), a phase II clinical study in 40 recreational drug abusers assessing the liability of snorting our hydrocodone/acetaminophen product. Study 301s primary endpoint indicated that Aversion hydrocodone/acetaminophen had slightly lower numeric mean maximum drug liking compared to an equivalent dose of a generic hydrocodone/acetaminophen tablet, however these results were not statistically significant. The Study 301 secondary endpoints demonstrated statistical significance in mean minimum drug liking, including the Overall Drug Liking score and the Take Drug Again assessment. We intend to further evaluate the data from Study 301 and plan to meet with the FDA to discuss the Study 301 results. The projected timeline for submission of the NDA for Aversion hydrocodone/acetaminophen is expected to be delayed. The revised timeline for submission of the NDA for Aversion hydrocodone/acetaminophen will be determined following our meeting with the FDA. We have a meeting scheduled with the FDA to discuss the results of Study 301 on December 5, 2013.</w:t>
      </w:r>
    </w:p>
    <w:p>
      <w:pPr>
        <w:spacing w:after="0" w:line="3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launched Nexafed commercially in mid-December 2012 into the $1 billion United States over the counter market, or OTC, for cold and allergy products containing a nasal decongestant through drug wholesalers to retail pharmacies. Nexafed was demonstrated in a clinical study to meet the FDA Guideline standards for bioequivalence to the reference drug Sudafed® marketed by Johnson &amp; Johnson Corporation. We anticipate developing line extensions for our Nexafed franchise to capitalize on the many different combination offerings in the OTC cold/allergy market. We have developed a second generation prototype formulation of our Impede Technology, or Impede 2.0, to further improve our Nexafed franchise. Studies sponsored by us at an independent laboratory using an optimized, high yield direct conversion test method that is designed to replicate the direct conversion, or one-pot, process commonly used by clandestine methamphetamine laboratories yielded no measurable amount of methamphetamine compared to an approximate 38% yield with our older Impede Technology. Subsequent one-pot testing with the new formulations demonstrated variability in the one-pot conversion method making it unsuitable to enter into the marketplace. We continue to perform research into improvements for our IMPEDE technology.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We also have discovered an early-stage technology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Aversion Technology is a unique composition of inactive pharmaceutical ingredients utilized with an opioid or other drug susceptible of abuse to provide abuse deterrent functionality. We have four issued U.S. patents covering all of our Aversion Technology opioid products, which patents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88" w:lineRule="exact"/>
        <w:rPr>
          <w:sz w:val="20"/>
          <w:szCs w:val="20"/>
          <w:color w:val="auto"/>
        </w:rPr>
      </w:pPr>
    </w:p>
    <w:p>
      <w:pPr>
        <w:jc w:val="both"/>
        <w:ind w:left="660" w:hanging="4"/>
        <w:spacing w:after="0" w:line="279" w:lineRule="auto"/>
        <w:tabs>
          <w:tab w:leader="none" w:pos="1187" w:val="left"/>
        </w:tabs>
        <w:numPr>
          <w:ilvl w:val="0"/>
          <w:numId w:val="5"/>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71" w:lineRule="exact"/>
        <w:rPr>
          <w:rFonts w:ascii="Arial" w:cs="Arial" w:eastAsia="Arial" w:hAnsi="Arial"/>
          <w:sz w:val="17"/>
          <w:szCs w:val="17"/>
          <w:color w:val="auto"/>
        </w:rPr>
      </w:pPr>
    </w:p>
    <w:p>
      <w:pPr>
        <w:jc w:val="both"/>
        <w:ind w:left="660" w:hanging="4"/>
        <w:spacing w:after="0" w:line="259" w:lineRule="auto"/>
        <w:tabs>
          <w:tab w:leader="none" w:pos="1174"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and manner in which any of the features described below will be described in the FDA approved label for our pipeline products will be dependent on the results of and the acceptance by the FDA of our and our licensees’ studies for each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Oxecta®</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Oxecta is a Schedule II narcotic indicated for the management of acute and chronic moderate to severe pain where the use of an opioid analgesic is appropriate. Oxecta utilizes our Aversion Technology. Pfizer received FDA approval for its 505(b)(2) NDA for Oxecta on June 17, 2011 and introduced the product into the market in February 2012. Pending receipt of the FDA’s advice on Pfizer’s proposed Oxecta promotional materials, which were submitted to the FDA in July 2012, Pfizer did not market Oxecta to physicians. As such, Pfizer attained no meaningful sales of Oxecta in 2012 or during the nine months ended September 30, 2013. In April 2013 Pfizer received FDA’s advice on its Oxecta promotional materials and commenced a non-branded marketing</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campaign to raise awareness of the problem of opioid abuse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2013. We have been informed by Pfizer that it will expand commercialization of Oxecta to health care providers in the fourth quarter of 2013. These activities will be directed to a national cross section of healthcare professionals who treat pain, but will not include the use of field representatives.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Oxecta 5mg and 7.5mg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left="1220" w:hanging="402"/>
        <w:spacing w:after="0" w:line="258"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1220" w:hanging="40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subjects taking Oxecta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1220" w:right="20" w:hanging="402"/>
        <w:spacing w:after="0" w:line="250"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1220" w:hanging="402"/>
        <w:spacing w:after="0" w:line="261"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Oxecta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Oxecta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Oxecta has a reduced liability compared to immediate release oxycodone. Pfizer has agreed to a post-approval commitment with the FDA to perform an epidemiology study to assess the actual impact on abuse of Oxecta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Oxecta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License, Development and Commercialization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As of September 30, 2013,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NDA for Oxecta. In addition, Pfizer remits to us a royalty of 5% on net sales of Oxecta, based on current annual net sales levels.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Opioid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multiple opioid products utilizing our Aversion Technology in various stages of development, including the following:</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Comparable Brand</w:t>
            </w:r>
          </w:p>
        </w:tc>
      </w:tr>
      <w:tr>
        <w:trPr>
          <w:trHeight w:val="267"/>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Aversion Technology Tablets</w:t>
            </w:r>
          </w:p>
        </w:tc>
        <w:tc>
          <w:tcPr>
            <w:tcW w:w="240" w:type="dxa"/>
            <w:vAlign w:val="bottom"/>
          </w:tcPr>
          <w:p>
            <w:pPr>
              <w:spacing w:after="0"/>
              <w:rPr>
                <w:sz w:val="23"/>
                <w:szCs w:val="23"/>
                <w:color w:val="auto"/>
              </w:rPr>
            </w:pPr>
          </w:p>
        </w:tc>
        <w:tc>
          <w:tcPr>
            <w:tcW w:w="23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84"/>
              </w:rPr>
              <w:t>Name</w:t>
            </w:r>
            <w:r>
              <w:rPr>
                <w:rFonts w:ascii="Arial" w:cs="Arial" w:eastAsia="Arial" w:hAnsi="Arial"/>
                <w:sz w:val="30"/>
                <w:szCs w:val="30"/>
                <w:color w:val="auto"/>
                <w:w w:val="84"/>
                <w:vertAlign w:val="superscript"/>
              </w:rPr>
              <w:t>1</w:t>
            </w:r>
          </w:p>
        </w:tc>
      </w:tr>
      <w:tr>
        <w:trPr>
          <w:trHeight w:val="426"/>
        </w:trPr>
        <w:tc>
          <w:tcPr>
            <w:tcW w:w="3440" w:type="dxa"/>
            <w:vAlign w:val="bottom"/>
            <w:gridSpan w:val="2"/>
          </w:tcPr>
          <w:p>
            <w:pPr>
              <w:spacing w:after="0"/>
              <w:rPr>
                <w:sz w:val="20"/>
                <w:szCs w:val="20"/>
                <w:color w:val="auto"/>
              </w:rPr>
            </w:pPr>
            <w:r>
              <w:rPr>
                <w:rFonts w:ascii="Arial" w:cs="Arial" w:eastAsia="Arial" w:hAnsi="Arial"/>
                <w:sz w:val="18"/>
                <w:szCs w:val="18"/>
                <w:color w:val="auto"/>
              </w:rPr>
              <w:t>Hydrocodone bitartrate/acetaminophen</w:t>
            </w:r>
          </w:p>
        </w:tc>
        <w:tc>
          <w:tcPr>
            <w:tcW w:w="2300" w:type="dxa"/>
            <w:vAlign w:val="bottom"/>
          </w:tcPr>
          <w:p>
            <w:pPr>
              <w:spacing w:after="0"/>
              <w:rPr>
                <w:sz w:val="20"/>
                <w:szCs w:val="20"/>
                <w:color w:val="auto"/>
              </w:rPr>
            </w:pPr>
            <w:r>
              <w:rPr>
                <w:rFonts w:ascii="Arial" w:cs="Arial" w:eastAsia="Arial" w:hAnsi="Arial"/>
                <w:sz w:val="18"/>
                <w:szCs w:val="18"/>
                <w:color w:val="auto"/>
              </w:rPr>
              <w:t>Vicodin®, Lortab®, Norco®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3473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IND submitted to the FDA on December 20, 2012.</w:t>
      </w:r>
    </w:p>
    <w:p>
      <w:pPr>
        <w:spacing w:after="0" w:line="23"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NDA submission timeline to be updated following December 5, 2013 meeting with FDA.</w:t>
      </w:r>
    </w:p>
    <w:p>
      <w:pPr>
        <w:spacing w:after="0" w:line="1" w:lineRule="exact"/>
        <w:rPr>
          <w:sz w:val="20"/>
          <w:szCs w:val="20"/>
          <w:color w:val="auto"/>
        </w:rPr>
      </w:pPr>
    </w:p>
    <w:p>
      <w:pPr>
        <w:sectPr>
          <w:pgSz w:w="11900" w:h="16838" w:orient="portrait"/>
          <w:cols w:equalWidth="0" w:num="2">
            <w:col w:w="5740" w:space="220"/>
            <w:col w:w="546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Hydromorphone HCl</w:t>
            </w:r>
          </w:p>
        </w:tc>
        <w:tc>
          <w:tcPr>
            <w:tcW w:w="2200" w:type="dxa"/>
            <w:vAlign w:val="bottom"/>
          </w:tcPr>
          <w:p>
            <w:pPr>
              <w:ind w:left="560"/>
              <w:spacing w:after="0"/>
              <w:rPr>
                <w:sz w:val="20"/>
                <w:szCs w:val="20"/>
                <w:color w:val="auto"/>
              </w:rPr>
            </w:pPr>
            <w:r>
              <w:rPr>
                <w:rFonts w:ascii="Arial" w:cs="Arial" w:eastAsia="Arial" w:hAnsi="Arial"/>
                <w:sz w:val="18"/>
                <w:szCs w:val="18"/>
                <w:color w:val="auto"/>
              </w:rPr>
              <w:t>Dilaudid®</w:t>
            </w:r>
          </w:p>
        </w:tc>
        <w:tc>
          <w:tcPr>
            <w:tcW w:w="2180" w:type="dxa"/>
            <w:vAlign w:val="bottom"/>
          </w:tcPr>
          <w:p>
            <w:pPr>
              <w:ind w:left="880"/>
              <w:spacing w:after="0" w:line="243" w:lineRule="exact"/>
              <w:rPr>
                <w:sz w:val="20"/>
                <w:szCs w:val="20"/>
                <w:color w:val="auto"/>
              </w:rPr>
            </w:pPr>
            <w:r>
              <w:rPr>
                <w:rFonts w:ascii="Arial" w:cs="Arial" w:eastAsia="Arial" w:hAnsi="Arial"/>
                <w:sz w:val="17"/>
                <w:szCs w:val="17"/>
                <w:color w:val="auto"/>
                <w:w w:val="92"/>
              </w:rPr>
              <w:t>Proof of Concept</w:t>
            </w:r>
            <w:r>
              <w:rPr>
                <w:rFonts w:ascii="Arial" w:cs="Arial" w:eastAsia="Arial" w:hAnsi="Arial"/>
                <w:sz w:val="28"/>
                <w:szCs w:val="28"/>
                <w:color w:val="auto"/>
                <w:w w:val="92"/>
                <w:vertAlign w:val="superscript"/>
              </w:rPr>
              <w:t>2</w:t>
            </w:r>
          </w:p>
        </w:tc>
      </w:tr>
      <w:tr>
        <w:trPr>
          <w:trHeight w:val="257"/>
        </w:trPr>
        <w:tc>
          <w:tcPr>
            <w:tcW w:w="2880" w:type="dxa"/>
            <w:vAlign w:val="bottom"/>
          </w:tcPr>
          <w:p>
            <w:pPr>
              <w:spacing w:after="0"/>
              <w:rPr>
                <w:sz w:val="20"/>
                <w:szCs w:val="20"/>
                <w:color w:val="auto"/>
              </w:rPr>
            </w:pPr>
            <w:r>
              <w:rPr>
                <w:rFonts w:ascii="Arial" w:cs="Arial" w:eastAsia="Arial" w:hAnsi="Arial"/>
                <w:sz w:val="18"/>
                <w:szCs w:val="18"/>
                <w:color w:val="auto"/>
              </w:rPr>
              <w:t>Methadone HCl</w:t>
            </w:r>
          </w:p>
        </w:tc>
        <w:tc>
          <w:tcPr>
            <w:tcW w:w="2200" w:type="dxa"/>
            <w:vAlign w:val="bottom"/>
          </w:tcPr>
          <w:p>
            <w:pPr>
              <w:ind w:left="560"/>
              <w:spacing w:after="0"/>
              <w:rPr>
                <w:sz w:val="20"/>
                <w:szCs w:val="20"/>
                <w:color w:val="auto"/>
              </w:rPr>
            </w:pPr>
            <w:r>
              <w:rPr>
                <w:rFonts w:ascii="Arial" w:cs="Arial" w:eastAsia="Arial" w:hAnsi="Arial"/>
                <w:sz w:val="18"/>
                <w:szCs w:val="18"/>
                <w:color w:val="auto"/>
              </w:rPr>
              <w:t>Methadose</w:t>
            </w:r>
          </w:p>
        </w:tc>
        <w:tc>
          <w:tcPr>
            <w:tcW w:w="2180" w:type="dxa"/>
            <w:vAlign w:val="bottom"/>
          </w:tcPr>
          <w:p>
            <w:pPr>
              <w:ind w:left="880"/>
              <w:spacing w:after="0" w:line="256" w:lineRule="exact"/>
              <w:rPr>
                <w:sz w:val="20"/>
                <w:szCs w:val="20"/>
                <w:color w:val="auto"/>
              </w:rPr>
            </w:pPr>
            <w:r>
              <w:rPr>
                <w:rFonts w:ascii="Arial" w:cs="Arial" w:eastAsia="Arial" w:hAnsi="Arial"/>
                <w:sz w:val="18"/>
                <w:szCs w:val="18"/>
                <w:color w:val="auto"/>
                <w:w w:val="87"/>
              </w:rPr>
              <w:t>Proof of Concept</w:t>
            </w:r>
            <w:r>
              <w:rPr>
                <w:rFonts w:ascii="Arial" w:cs="Arial" w:eastAsia="Arial" w:hAnsi="Arial"/>
                <w:sz w:val="29"/>
                <w:szCs w:val="29"/>
                <w:color w:val="auto"/>
                <w:w w:val="87"/>
                <w:vertAlign w:val="superscript"/>
              </w:rPr>
              <w:t>2</w:t>
            </w:r>
          </w:p>
        </w:tc>
      </w:tr>
      <w:tr>
        <w:trPr>
          <w:trHeight w:val="257"/>
        </w:trPr>
        <w:tc>
          <w:tcPr>
            <w:tcW w:w="2880" w:type="dxa"/>
            <w:vAlign w:val="bottom"/>
          </w:tcPr>
          <w:p>
            <w:pPr>
              <w:spacing w:after="0"/>
              <w:rPr>
                <w:sz w:val="20"/>
                <w:szCs w:val="20"/>
                <w:color w:val="auto"/>
              </w:rPr>
            </w:pPr>
            <w:r>
              <w:rPr>
                <w:rFonts w:ascii="Arial" w:cs="Arial" w:eastAsia="Arial" w:hAnsi="Arial"/>
                <w:sz w:val="18"/>
                <w:szCs w:val="18"/>
                <w:color w:val="auto"/>
              </w:rPr>
              <w:t>Morphine Sulfate</w:t>
            </w:r>
          </w:p>
        </w:tc>
        <w:tc>
          <w:tcPr>
            <w:tcW w:w="2200" w:type="dxa"/>
            <w:vAlign w:val="bottom"/>
          </w:tcPr>
          <w:p>
            <w:pPr>
              <w:ind w:left="560"/>
              <w:spacing w:after="0"/>
              <w:rPr>
                <w:sz w:val="20"/>
                <w:szCs w:val="20"/>
                <w:color w:val="auto"/>
              </w:rPr>
            </w:pPr>
            <w:r>
              <w:rPr>
                <w:rFonts w:ascii="Arial" w:cs="Arial" w:eastAsia="Arial" w:hAnsi="Arial"/>
                <w:sz w:val="18"/>
                <w:szCs w:val="18"/>
                <w:color w:val="auto"/>
              </w:rPr>
              <w:t>MSIR®</w:t>
            </w:r>
          </w:p>
        </w:tc>
        <w:tc>
          <w:tcPr>
            <w:tcW w:w="2180" w:type="dxa"/>
            <w:vAlign w:val="bottom"/>
          </w:tcPr>
          <w:p>
            <w:pPr>
              <w:ind w:left="880"/>
              <w:spacing w:after="0" w:line="256" w:lineRule="exact"/>
              <w:rPr>
                <w:sz w:val="20"/>
                <w:szCs w:val="20"/>
                <w:color w:val="auto"/>
              </w:rPr>
            </w:pPr>
            <w:r>
              <w:rPr>
                <w:rFonts w:ascii="Arial" w:cs="Arial" w:eastAsia="Arial" w:hAnsi="Arial"/>
                <w:sz w:val="18"/>
                <w:szCs w:val="18"/>
                <w:color w:val="auto"/>
                <w:w w:val="87"/>
              </w:rPr>
              <w:t>Proof of Concept</w:t>
            </w:r>
            <w:r>
              <w:rPr>
                <w:rFonts w:ascii="Arial" w:cs="Arial" w:eastAsia="Arial" w:hAnsi="Arial"/>
                <w:sz w:val="29"/>
                <w:szCs w:val="29"/>
                <w:color w:val="auto"/>
                <w:w w:val="87"/>
                <w:vertAlign w:val="superscript"/>
              </w:rPr>
              <w:t>2</w:t>
            </w:r>
          </w:p>
        </w:tc>
      </w:tr>
      <w:tr>
        <w:trPr>
          <w:trHeight w:val="257"/>
        </w:trPr>
        <w:tc>
          <w:tcPr>
            <w:tcW w:w="2880" w:type="dxa"/>
            <w:vAlign w:val="bottom"/>
          </w:tcPr>
          <w:p>
            <w:pPr>
              <w:spacing w:after="0"/>
              <w:rPr>
                <w:sz w:val="20"/>
                <w:szCs w:val="20"/>
                <w:color w:val="auto"/>
              </w:rPr>
            </w:pPr>
            <w:r>
              <w:rPr>
                <w:rFonts w:ascii="Arial" w:cs="Arial" w:eastAsia="Arial" w:hAnsi="Arial"/>
                <w:sz w:val="18"/>
                <w:szCs w:val="18"/>
                <w:color w:val="auto"/>
              </w:rPr>
              <w:t>Oxycodone HCl/acetaminophen</w:t>
            </w:r>
          </w:p>
        </w:tc>
        <w:tc>
          <w:tcPr>
            <w:tcW w:w="2200" w:type="dxa"/>
            <w:vAlign w:val="bottom"/>
          </w:tcPr>
          <w:p>
            <w:pPr>
              <w:ind w:left="560"/>
              <w:spacing w:after="0"/>
              <w:rPr>
                <w:sz w:val="20"/>
                <w:szCs w:val="20"/>
                <w:color w:val="auto"/>
              </w:rPr>
            </w:pPr>
            <w:r>
              <w:rPr>
                <w:rFonts w:ascii="Arial" w:cs="Arial" w:eastAsia="Arial" w:hAnsi="Arial"/>
                <w:sz w:val="18"/>
                <w:szCs w:val="18"/>
                <w:color w:val="auto"/>
              </w:rPr>
              <w:t>Percocet®</w:t>
            </w:r>
          </w:p>
        </w:tc>
        <w:tc>
          <w:tcPr>
            <w:tcW w:w="2180" w:type="dxa"/>
            <w:vAlign w:val="bottom"/>
          </w:tcPr>
          <w:p>
            <w:pPr>
              <w:ind w:left="880"/>
              <w:spacing w:after="0" w:line="256" w:lineRule="exact"/>
              <w:rPr>
                <w:sz w:val="20"/>
                <w:szCs w:val="20"/>
                <w:color w:val="auto"/>
              </w:rPr>
            </w:pPr>
            <w:r>
              <w:rPr>
                <w:rFonts w:ascii="Arial" w:cs="Arial" w:eastAsia="Arial" w:hAnsi="Arial"/>
                <w:sz w:val="18"/>
                <w:szCs w:val="18"/>
                <w:color w:val="auto"/>
                <w:w w:val="87"/>
              </w:rPr>
              <w:t>Proof of Concept</w:t>
            </w:r>
            <w:r>
              <w:rPr>
                <w:rFonts w:ascii="Arial" w:cs="Arial" w:eastAsia="Arial" w:hAnsi="Arial"/>
                <w:sz w:val="29"/>
                <w:szCs w:val="29"/>
                <w:color w:val="auto"/>
                <w:w w:val="87"/>
                <w:vertAlign w:val="superscript"/>
              </w:rPr>
              <w:t>2</w:t>
            </w:r>
          </w:p>
        </w:tc>
      </w:tr>
      <w:tr>
        <w:trPr>
          <w:trHeight w:val="257"/>
        </w:trPr>
        <w:tc>
          <w:tcPr>
            <w:tcW w:w="2880" w:type="dxa"/>
            <w:vAlign w:val="bottom"/>
          </w:tcPr>
          <w:p>
            <w:pPr>
              <w:spacing w:after="0"/>
              <w:rPr>
                <w:sz w:val="20"/>
                <w:szCs w:val="20"/>
                <w:color w:val="auto"/>
              </w:rPr>
            </w:pPr>
            <w:r>
              <w:rPr>
                <w:rFonts w:ascii="Arial" w:cs="Arial" w:eastAsia="Arial" w:hAnsi="Arial"/>
                <w:sz w:val="18"/>
                <w:szCs w:val="18"/>
                <w:color w:val="auto"/>
              </w:rPr>
              <w:t>Oxymorphone HCl</w:t>
            </w:r>
          </w:p>
        </w:tc>
        <w:tc>
          <w:tcPr>
            <w:tcW w:w="2200" w:type="dxa"/>
            <w:vAlign w:val="bottom"/>
          </w:tcPr>
          <w:p>
            <w:pPr>
              <w:ind w:left="560"/>
              <w:spacing w:after="0"/>
              <w:rPr>
                <w:sz w:val="20"/>
                <w:szCs w:val="20"/>
                <w:color w:val="auto"/>
              </w:rPr>
            </w:pPr>
            <w:r>
              <w:rPr>
                <w:rFonts w:ascii="Arial" w:cs="Arial" w:eastAsia="Arial" w:hAnsi="Arial"/>
                <w:sz w:val="18"/>
                <w:szCs w:val="18"/>
                <w:color w:val="auto"/>
              </w:rPr>
              <w:t>Opana®</w:t>
            </w:r>
          </w:p>
        </w:tc>
        <w:tc>
          <w:tcPr>
            <w:tcW w:w="2180" w:type="dxa"/>
            <w:vAlign w:val="bottom"/>
          </w:tcPr>
          <w:p>
            <w:pPr>
              <w:ind w:left="880"/>
              <w:spacing w:after="0" w:line="256" w:lineRule="exact"/>
              <w:rPr>
                <w:sz w:val="20"/>
                <w:szCs w:val="20"/>
                <w:color w:val="auto"/>
              </w:rPr>
            </w:pPr>
            <w:r>
              <w:rPr>
                <w:rFonts w:ascii="Arial" w:cs="Arial" w:eastAsia="Arial" w:hAnsi="Arial"/>
                <w:sz w:val="18"/>
                <w:szCs w:val="18"/>
                <w:color w:val="auto"/>
                <w:w w:val="87"/>
              </w:rPr>
              <w:t>Proof of Concept</w:t>
            </w:r>
            <w:r>
              <w:rPr>
                <w:rFonts w:ascii="Arial" w:cs="Arial" w:eastAsia="Arial" w:hAnsi="Arial"/>
                <w:sz w:val="29"/>
                <w:szCs w:val="29"/>
                <w:color w:val="auto"/>
                <w:w w:val="87"/>
                <w:vertAlign w:val="superscript"/>
              </w:rPr>
              <w:t>2</w:t>
            </w:r>
          </w:p>
        </w:tc>
      </w:tr>
      <w:tr>
        <w:trPr>
          <w:trHeight w:val="394"/>
        </w:trPr>
        <w:tc>
          <w:tcPr>
            <w:tcW w:w="2880" w:type="dxa"/>
            <w:vAlign w:val="bottom"/>
          </w:tcPr>
          <w:p>
            <w:pPr>
              <w:spacing w:after="0"/>
              <w:rPr>
                <w:sz w:val="20"/>
                <w:szCs w:val="20"/>
                <w:color w:val="auto"/>
              </w:rPr>
            </w:pPr>
            <w:r>
              <w:rPr>
                <w:rFonts w:ascii="Arial" w:cs="Arial" w:eastAsia="Arial" w:hAnsi="Arial"/>
                <w:sz w:val="18"/>
                <w:szCs w:val="18"/>
                <w:color w:val="auto"/>
              </w:rPr>
              <w:t>Tramadol HCl</w:t>
            </w:r>
          </w:p>
        </w:tc>
        <w:tc>
          <w:tcPr>
            <w:tcW w:w="2200" w:type="dxa"/>
            <w:vAlign w:val="bottom"/>
          </w:tcPr>
          <w:p>
            <w:pPr>
              <w:ind w:left="560"/>
              <w:spacing w:after="0"/>
              <w:rPr>
                <w:sz w:val="20"/>
                <w:szCs w:val="20"/>
                <w:color w:val="auto"/>
              </w:rPr>
            </w:pPr>
            <w:r>
              <w:rPr>
                <w:rFonts w:ascii="Arial" w:cs="Arial" w:eastAsia="Arial" w:hAnsi="Arial"/>
                <w:sz w:val="18"/>
                <w:szCs w:val="18"/>
                <w:color w:val="auto"/>
              </w:rPr>
              <w:t>Ultram®</w:t>
            </w:r>
          </w:p>
        </w:tc>
        <w:tc>
          <w:tcPr>
            <w:tcW w:w="2180" w:type="dxa"/>
            <w:vAlign w:val="bottom"/>
          </w:tcPr>
          <w:p>
            <w:pPr>
              <w:ind w:left="880"/>
              <w:spacing w:after="0"/>
              <w:rPr>
                <w:sz w:val="20"/>
                <w:szCs w:val="20"/>
                <w:color w:val="auto"/>
              </w:rPr>
            </w:pPr>
            <w:r>
              <w:rPr>
                <w:rFonts w:ascii="Arial" w:cs="Arial" w:eastAsia="Arial" w:hAnsi="Arial"/>
                <w:sz w:val="18"/>
                <w:szCs w:val="18"/>
                <w:color w:val="auto"/>
                <w:w w:val="87"/>
              </w:rPr>
              <w:t>Proof of Concept</w:t>
            </w:r>
            <w:r>
              <w:rPr>
                <w:rFonts w:ascii="Arial" w:cs="Arial" w:eastAsia="Arial" w:hAnsi="Arial"/>
                <w:sz w:val="30"/>
                <w:szCs w:val="30"/>
                <w:color w:val="auto"/>
                <w:w w:val="87"/>
                <w:vertAlign w:val="superscript"/>
              </w:rPr>
              <w:t>2</w:t>
            </w:r>
          </w:p>
        </w:tc>
      </w:tr>
    </w:tbl>
    <w:p>
      <w:pPr>
        <w:spacing w:after="0" w:line="187" w:lineRule="exact"/>
        <w:rPr>
          <w:sz w:val="20"/>
          <w:szCs w:val="20"/>
          <w:color w:val="auto"/>
        </w:rPr>
      </w:pPr>
    </w:p>
    <w:p>
      <w:pPr>
        <w:ind w:left="180" w:hanging="172"/>
        <w:spacing w:after="0" w:line="182" w:lineRule="auto"/>
        <w:tabs>
          <w:tab w:leader="none" w:pos="207"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color w:val="auto"/>
        </w:rPr>
        <w:t>Comparable Brand Name refers to currently marketed prescription products in the United States containing the same active analgesic ingredient(s) as in the corresponding Aversion Technology product.</w:t>
      </w:r>
    </w:p>
    <w:p>
      <w:pPr>
        <w:spacing w:after="0" w:line="68" w:lineRule="exact"/>
        <w:rPr>
          <w:sz w:val="20"/>
          <w:szCs w:val="20"/>
          <w:color w:val="auto"/>
        </w:rPr>
      </w:pPr>
    </w:p>
    <w:p>
      <w:pPr>
        <w:ind w:left="180" w:right="20" w:hanging="172"/>
        <w:spacing w:after="0" w:line="182" w:lineRule="auto"/>
        <w:tabs>
          <w:tab w:leader="none" w:pos="207" w:val="left"/>
        </w:tabs>
        <w:numPr>
          <w:ilvl w:val="0"/>
          <w:numId w:val="8"/>
        </w:numPr>
        <w:rPr>
          <w:rFonts w:ascii="Arial" w:cs="Arial" w:eastAsia="Arial" w:hAnsi="Arial"/>
          <w:sz w:val="34"/>
          <w:szCs w:val="34"/>
          <w:color w:val="auto"/>
          <w:vertAlign w:val="superscript"/>
        </w:rPr>
      </w:pPr>
      <w:r>
        <w:rPr>
          <w:rFonts w:ascii="Arial" w:cs="Arial" w:eastAsia="Arial" w:hAnsi="Arial"/>
          <w:sz w:val="17"/>
          <w:szCs w:val="17"/>
          <w:color w:val="auto"/>
        </w:rPr>
        <w:t>Proof of Concept is attained upon demonstration of product stability and bioavailability parameters. All proof of concept formulations contain niacin and will require reformulation.</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Development of Aversion Hydrocodone/Acetaminophen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hydrocodone/acetaminophen product was previously under development by Pfizer who, before returning the product to us: (1) removed niacin from the formulation, (2) conducted bioequivalence testing and (3) held a pre-IND meeting with the FDA. We expect our clinical development program for our hydrocodone/acetaminophen product to consist of:</w:t>
      </w:r>
    </w:p>
    <w:p>
      <w:pPr>
        <w:spacing w:after="0" w:line="181" w:lineRule="exact"/>
        <w:rPr>
          <w:sz w:val="20"/>
          <w:szCs w:val="20"/>
          <w:color w:val="auto"/>
        </w:rPr>
      </w:pPr>
    </w:p>
    <w:p>
      <w:pPr>
        <w:ind w:left="1620" w:hanging="802"/>
        <w:spacing w:after="0" w:line="25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36 fasted subjects to establish bioequivalence of product made by a new contract manufacturer to the FDA’s reference listed drug and determine the food effect on our drug;</w:t>
      </w:r>
    </w:p>
    <w:p>
      <w:pPr>
        <w:spacing w:after="0" w:line="1" w:lineRule="exact"/>
        <w:rPr>
          <w:rFonts w:ascii="Arial" w:cs="Arial" w:eastAsia="Arial" w:hAnsi="Arial"/>
          <w:sz w:val="18"/>
          <w:szCs w:val="18"/>
          <w:color w:val="auto"/>
        </w:rPr>
      </w:pPr>
    </w:p>
    <w:p>
      <w:pPr>
        <w:ind w:left="1620" w:hanging="802"/>
        <w:spacing w:after="0" w:line="250"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24 subjects to establish safety compared to the reference listed drugs tramadol/acetaminophen (for acetaminophen) and hydrocodone bitartrate/ibuprofen (for hydrocodone);</w:t>
      </w:r>
    </w:p>
    <w:p>
      <w:pPr>
        <w:ind w:left="1620" w:hanging="802"/>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24 subjects demonstrating dose proportionality of our formulation;</w:t>
      </w:r>
    </w:p>
    <w:p>
      <w:pPr>
        <w:spacing w:after="0" w:line="9" w:lineRule="exact"/>
        <w:rPr>
          <w:rFonts w:ascii="Arial" w:cs="Arial" w:eastAsia="Arial" w:hAnsi="Arial"/>
          <w:sz w:val="18"/>
          <w:szCs w:val="18"/>
          <w:color w:val="auto"/>
        </w:rPr>
      </w:pPr>
    </w:p>
    <w:p>
      <w:pPr>
        <w:ind w:left="1620" w:hanging="802"/>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nasal abuse liability liking study in about 40 recreational drug users against a reference drug, or Study AP-ADF-301;</w:t>
      </w:r>
    </w:p>
    <w:p>
      <w:pPr>
        <w:spacing w:after="0" w:line="9" w:lineRule="exact"/>
        <w:rPr>
          <w:rFonts w:ascii="Arial" w:cs="Arial" w:eastAsia="Arial" w:hAnsi="Arial"/>
          <w:sz w:val="18"/>
          <w:szCs w:val="18"/>
          <w:color w:val="auto"/>
        </w:rPr>
      </w:pPr>
    </w:p>
    <w:p>
      <w:pPr>
        <w:ind w:left="1620" w:hanging="802"/>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and particle size characteristics of our product; and</w:t>
      </w:r>
    </w:p>
    <w:p>
      <w:pPr>
        <w:spacing w:after="0" w:line="9" w:lineRule="exact"/>
        <w:rPr>
          <w:rFonts w:ascii="Arial" w:cs="Arial" w:eastAsia="Arial" w:hAnsi="Arial"/>
          <w:sz w:val="18"/>
          <w:szCs w:val="18"/>
          <w:color w:val="auto"/>
        </w:rPr>
      </w:pPr>
    </w:p>
    <w:p>
      <w:pPr>
        <w:ind w:left="1620" w:hanging="802"/>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26, 2013, we announced top-line results from Study AP-ADF-301 (Study 301), a phase II clinical study in 40 recreational drug abusers assessing the abuse liability of snorting of our crushed hydrocodone/acetaminophen product. Study 301’s primary endpoint indicated Aversion hydrocodone/acetaminophen had slightly lower numeric mean maximum drug liking (Emax: 72.1) compared to an equivalent dose of a generic hydrocodone/acetaminophen tablet: Emax: 75.6) currently on the market, however these results were not statistically significant (p=0.22). The secondary endpoints demonstrated the effects of the Aversion ingredients on drug snorting. Aversion hydrocodone/acetaminophen’s mean minimum liking (Emin: 40.2) was less than the comparator (Emin: 50.4) (the difference being statistically significant at p=0.0003). The mean minimum drug liking for Aversion H&amp;A and the placebo control were 40.2 and 48.8, respectively (the difference being statistically significant at p=0.0042). A score below 50 indicates a subject disliked the drug they were taking at some point during the treatment (a score of 50 means neither like or dislike), and a score greater than 50 indicates they liked the drug they were taking.</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mean minimum liking results correlated closely the Overall Drug Liking score (ODL) and Take Drug Again assessment (TDA). ODL assessed the subject like or dislike for the drug experience 12 hours after taking the dose. The ODL for Aversion hydrocodone/acetaminophen (52.7) was lower than the generic comparator (71.0) (the difference being statistically significant at p=0.0001) with a score of 50 indicating a neither a like or dislike. TDA assessed a subject’s willingness to take the drug again assessed 12 hours after taking the dose. The TDA for Aversion hydrocodone/acetaminophen (45.1) was lower than the generic comparator (71.0) (the difference being statistically significant at p=0.0001) with the Aversion hydrocodone/acetaminophen score below 50 indicating an unwillingness to take the drug again.</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serious adverse events reported for Aversion hydrocodone/acetaminophen. There was no sequence effect identified in the study but a carryover effect between the 5 study crossover periods was identified for the Emax measure but not the Emin measure. This effect is being further evaluated.</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intend to further evaluate the data from this study and have scheduled to meet with the FDA on December 5, 2013 to discuss these results. Given the absence of statistical significance in Study 301s primary endpoint relating to maximum drug liking, the timeline for submission of a NDA for Aversion hydrocodone/acetaminophen product is expected to be delayed. The revised projected timeline for submission of the NDA will be determined following our meeting with the FDA. Although we do not expect the need to conduct additional nasal abuse like/dislike studies for Aversion hydrocodone/acetaminophen product, this will not be confirmed until our meeting with the FDA to discuss the Study 301 results.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completed scale-up activities for our Aversion hydrocodone/acetaminophen product at the proposed commercial manufacturer and have manufactured our registration batches for use in subsequent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possible partnering of our Aversion development products with alternative strategic partners.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Impede Technology 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Impede Technology, a proprietary mixture of inactive ingredients, is intended to prevent the extraction of pseudoephedrine, or PSE, from tablets and disrupt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Studies sponsored by us at an independent laboratory and confirmed by a law enforcement agency, demonstrated our Impede Technology prevents the extraction of PSE from tablets for conversion into methamphetamine using what we believe are the two most common extraction methods, each requiring extraction of PSE as an initial step. Laboratory tests conducted on our behalf by an independent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in multiple one-pot tests with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conducting research on Impede 2.0, our next generation Impede Technology, to further improve our Nexafed franchise. Studies sponsored by us at an independent laboratory using an optimized, high yield direct conversion test method that is designed to replicate the direct conversion, or one-pot, process commonly used by clandestine methamphetamine laboratories yielded no measurable amount of methamphetamine compared to an approximate 38% yield with our older Impede Technology. Subsequent one-pot testing with the new formulation demonstrated variability in the one-pot conversion method making it unsuitable to enter into the marketplace. We continue to perform research into improvements for our IMPEDE technology.</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Separately, we now intend to advance the research and development of our first line extension of NEXAFED, a combination product with additional active ingredients, using our IMPEDE 1.0 technology.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w:t>
      </w:r>
      <w:r>
        <w:rPr>
          <w:rFonts w:ascii="Arial" w:cs="Arial" w:eastAsia="Arial" w:hAnsi="Arial"/>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Nexafed product is an immediate-release pseudoephedrine HCl, tablet which utilizes our patent pending Impede Technology. PSE is a widely-used nasal decongestant available in many non-prescription and prescription cold, sinus and allergy products We have demonstrated that our Nexafed 30mg tablets is bioequivalent to Johnson &amp; Johnson’s Sudafed® 30mg Tablets when a single 2 tablets dose is administered. Commencing in 2006, the Combat Methamphetamine Epidemic Act, or CMEA, required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pharmacies and educating and encouraging pharmacists to recommend Nexafed to their customers.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launched Nexafed commercially in mid-December 2012 into the United States OTC market for cold and allergy products and have shipped Nexafed to several regional and national drug wholesalers for redistribution to pharmacies, including the three largest U.S. drug wholesalers: McKesson, Cardinal Health and AmerisourceBergen. In March 2013, we completed our first shipment of Nexafed directly to the warehouse of a regional drug chain who, we understand, would further stock all of their pharmacies with Nexafed</w:t>
      </w:r>
      <w:r>
        <w:rPr>
          <w:rFonts w:ascii="Arial" w:cs="Arial" w:eastAsia="Arial" w:hAnsi="Arial"/>
          <w:sz w:val="16"/>
          <w:szCs w:val="16"/>
          <w:b w:val="1"/>
          <w:bCs w:val="1"/>
          <w:color w:val="auto"/>
        </w:rPr>
        <w:t>.</w:t>
      </w:r>
      <w:r>
        <w:rPr>
          <w:rFonts w:ascii="Arial" w:cs="Arial" w:eastAsia="Arial" w:hAnsi="Arial"/>
          <w:sz w:val="16"/>
          <w:szCs w:val="16"/>
          <w:color w:val="auto"/>
        </w:rPr>
        <w:t xml:space="preserve"> We have also gained support from other pharmacy chain customers. Generally, these chain customers purchase their pseudoephedrine products through their pharmacy departments – as opposed to a centralized OTC purchasing operation. The support for Nexafed from these chain customers varies from providing Nexafed educational materials to their pharmacists and allowing each pharmacy to make their own purchasing decision, to the stocking of Nexafed as their only 30mg pseudoephedrine product. We estimate Nexafed is currently stocked in approximately 2,900 US pharmacies or about 4.5% of the 65,000 pharmacy outlets. About 50% of these pharmacies are repeat customers. We continue to work to expand the wholesale and retail distribution network for Nexafed and intend to re-approach some chain customers already stocking Nexafed with programs designed to improve penetration in those chains. On November 1, 2013, we received a purchase order for Nexafed from Rite Aid. Based on the size of this order, we believe Rite Aid may make Nexafed available for distribution in a substantial majority of its 4,600 pharmacies.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We are using telemarketing, direct mail, and online and journal advertising to educate pharmacists about Nexafed and encourage pharmacists to recommend Nexafed to their customers and are currently readapting our advertising program to differentiate Nexafed from a meth-resistant competitive product that launched in August 2013. We may use consumer advertising in the future. We have shipped approximately $92 thousand and $150 thousand in Nexafed product during the quarter and nine months ended September 30, 2013,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marketing our 30mg Nexafed product under FDA’s regulations applicable to OTC Monograph products. Nexafed tablets are offered in 24-count blister packaged cartons and priced comparable to other branded PSE 30mg tablets.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30, 2013 we had cash, cash equivalents and marketable securities of approximately $18.7 million. We estimate that our current cash reserves will be sufficient to fund operations through at least the next 12 months.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2013 we recognized $80 thousand of product sales on our gross shipments of Nexafed totaling $150 thousand. Certain of our customers have accepted a pricing allowance in exchange for forfeiting the right to return Nexafed and therefore we are recognizing revenue upon product shipment to them. Additionally we are recognizing revenue from certain of our other customers based on a pharmacy’s Nexafed reorder activity with their own drug wholesaler supplier. For all other customers, given the limited sales history of Nexafed, the Company currently cannot reliably estimate expected returns of the product from these customers at the time of shipment. Accordingly, the Company is deferring recognition of revenue on these product shipments of Nexafed until the right of return no longer exists or adequate history and information is available to estimate product returns. Our royalty revenue from Pfizer’s sale of Oxecta Tablets began in February 2013 and we are accruing royalties based on the estimate of net product sales of Oxecta Tablets provided by Pfizer to us.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fund our continued operations, we expect to rely on our current cash resources, net proceeds from our “at-the-market” offering of our common stock pursuant to our Sales Agreement with MLV &amp; Co., additional payments that may be made under Pfizer Agreement and under future license agreements with other pharmaceutical company partners, of which there can be no assurance of obtaining, and revenues from our commercialization of our Nexafed Tablets. Our cash requirements for operating activities may increase in the future as we continue to conduct pre-clinical studies and clinical trials for our product candidates, maintain, defend, and expand the scope of our intellectual property, including the litigation of the Paragraph IV Proceedings, hire additional personnel, commercialize our Nexafed Tablets, or invest in other areas.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2013 Compared to Three Months Ended September 30,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vMerge w:val="restart"/>
          </w:tcPr>
          <w:p>
            <w:pPr>
              <w:jc w:val="right"/>
              <w:ind w:right="390"/>
              <w:spacing w:after="0"/>
              <w:rPr>
                <w:sz w:val="20"/>
                <w:szCs w:val="20"/>
                <w:color w:val="auto"/>
              </w:rPr>
            </w:pPr>
            <w:r>
              <w:rPr>
                <w:rFonts w:ascii="Arial" w:cs="Arial" w:eastAsia="Arial" w:hAnsi="Arial"/>
                <w:sz w:val="18"/>
                <w:szCs w:val="18"/>
                <w:color w:val="auto"/>
              </w:rPr>
              <w:t>Increase (decrease)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$000's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$000's</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Percent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8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Product sales, net</w:t>
            </w: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Total revenues, net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8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Selling, marketing, general and administrative</w:t>
            </w: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1,941</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3,308</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(3,225)</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w:t>
            </w: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Loss on sales of marketable securities</w:t>
            </w: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Total other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(3,190)</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840" w:type="dxa"/>
            <w:vAlign w:val="bottom"/>
          </w:tcPr>
          <w:p>
            <w:pPr>
              <w:ind w:left="320"/>
              <w:spacing w:after="0" w:line="201" w:lineRule="exact"/>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(3,190)</w:t>
            </w:r>
          </w:p>
        </w:tc>
        <w:tc>
          <w:tcPr>
            <w:tcW w:w="3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(2,140)</w:t>
            </w:r>
          </w:p>
        </w:tc>
        <w:tc>
          <w:tcPr>
            <w:tcW w:w="3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1,050</w:t>
            </w:r>
          </w:p>
        </w:tc>
        <w:tc>
          <w:tcPr>
            <w:tcW w:w="1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49</w:t>
            </w:r>
          </w:p>
        </w:tc>
        <w:tc>
          <w:tcPr>
            <w:tcW w:w="3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860"/>
              <w:spacing w:after="0"/>
              <w:rPr>
                <w:sz w:val="20"/>
                <w:szCs w:val="20"/>
                <w:color w:val="auto"/>
              </w:rPr>
            </w:pPr>
            <w:r>
              <w:rPr>
                <w:rFonts w:ascii="Arial" w:cs="Arial" w:eastAsia="Arial" w:hAnsi="Arial"/>
                <w:sz w:val="18"/>
                <w:szCs w:val="18"/>
                <w:color w:val="auto"/>
              </w:rPr>
              <w:t>nm = not meaningful</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launched Nexafed commercially in mid-December 2012. Given the limited sales history of Nexafed, the Company could not reliably estimate expected returns of the product at the time of shipment. Accordingly, the Company deferred recognition of revenue and the related cost of sales on product shipments of Nexafed since its launch until the right of return no longer exists or adequate history and information is available to estimate product returns. During the</w:t>
      </w:r>
    </w:p>
    <w:p>
      <w:pPr>
        <w:jc w:val="both"/>
        <w:spacing w:after="0" w:line="244" w:lineRule="auto"/>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2013 we recognized revenue of $80 thousand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 As of September 30, 2013, we had $71 thousand in deferred revenue on our balance sheet related to Nexafed shipments which occurred since its commercial launch. We had no product sales for the three months ended September 30,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we began to earn royalties on Oxecta net sales starting in February 2013. Pfizer will pay us a royalty at one of six rates ranging from 5% to 25% based on the level of annual net sales for Oxecta across all Pfizer Territories, with the highest applicable royalty rate applied to such annual sales. These royalties are based on net sales of Oxecta reported to us by Pfizer being paid to us within 45 days after the end of each calendar quarter. We recorded royalties of approximately $3 thousand for the quarter ended September 30, 2013 on Pfizer’s net sales of Oxecta of approximately $60 thousand.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third party acquisition costs, third party warehousing and product distribution charges and inventory reserve charges for the Nexafed product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(“R&amp;D”) expense during the three months ended September 30, 2013 were primarily for our Aversion development expenses and for the three months ended 2012 were for product candidates utilizing either our Aversion or our Impede® Technologies, including costs of preclinical, clinical trials, clinical supplies and related formulation and design costs, salaries and other personnel related expenses, and facility costs. Included in each of the 2013 and 2012 results are non-cash share-based compensation expenses of $0.1 million. Excluding the share-based compensation expense, our R&amp;D expenses increased approximately $0.6 million between reporting periods primarily from our Aversion development expenses on our hydrocodone/acetaminophen product candidate.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Selling and marketing expenses during the three months ended September 30, 2013 and 2012 primarily consisted of advertising and marketing activities on Nexafed which was launched in December 2012. Selling and marketing expenses during the three months ended September 30, 2012 primarily consisted of market research studies on our Aversion and Impede® Technologies. Our Nexafed advertising and marketing activities will continue in 2013. Our general and administrative expenses primarily consisted of legal, audit and other professional services, corporate insurance, and payroll. Included in the 2013 and 2012 results are non-cash share-based compensation expenses of $0.2 million and $0.3 million, respectively. Excluding the share-based compensation expense our selling, marketing general and administrative expenses increased approximately $0.6 million between reporting periods, primarily for the legal services on our paragraph IV litigation of $0.4 million and patent and trademark services of $0.2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September 30, 2013 and 2012, other non-operating income consisted principally of investment income derived from our cash reserves being invested in accordance with a Board of Director approved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loss for the three months ended September 30, 2013 and 2012 includes no federal or state income tax benefit provisions due to uncertainty of their future utilization.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2013 Compared to Nine Months Ended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Increase (decrease)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$000's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$000's</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Percent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6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Product sales, net</w:t>
            </w: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5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Cost of sales</w:t>
            </w: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Inventory write-down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4,120</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6,138</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10,697</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6,682</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4,015</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Operating loss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(10,609)</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5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Non-operating income: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Investment income</w:t>
            </w: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nm</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Loss on sales of marketable securities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other income</w:t>
            </w: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nm</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Loss before income taxes</w:t>
            </w:r>
          </w:p>
        </w:tc>
        <w:tc>
          <w:tcPr>
            <w:tcW w:w="6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(10,484)</w:t>
            </w:r>
          </w:p>
        </w:tc>
        <w:tc>
          <w:tcPr>
            <w:tcW w:w="3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3,832</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(10,484)</w:t>
            </w:r>
          </w:p>
        </w:tc>
        <w:tc>
          <w:tcPr>
            <w:tcW w:w="3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(6,652)</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3,832</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nm = not meaningful</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launched Nexafed commercially in mid-December 2012. Given the limited sales history of Nexafed, the Company could not reliably estimate expected returns of the product at the time of shipment. Accordingly, the Company deferred recognition of revenue and the related cost of sales on product shipments of</w:t>
      </w:r>
    </w:p>
    <w:p>
      <w:pPr>
        <w:jc w:val="both"/>
        <w:spacing w:after="0" w:line="248" w:lineRule="auto"/>
        <w:rPr>
          <w:sz w:val="20"/>
          <w:szCs w:val="20"/>
          <w:color w:val="auto"/>
        </w:rPr>
      </w:pPr>
      <w:r>
        <w:rPr>
          <w:rFonts w:ascii="Arial" w:cs="Arial" w:eastAsia="Arial" w:hAnsi="Arial"/>
          <w:sz w:val="17"/>
          <w:szCs w:val="17"/>
          <w:color w:val="auto"/>
        </w:rPr>
        <w:t>Nexafed since its launch until the right of return no longer exists or adequate history and information is available to estimate product returns. During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2013 we recognized revenue of $80 thousand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 As of September 30, 2013, we had $71 thousand in deferred revenue on our balance sheet related to Nexafed shipments which occurred since its commercial launch. We had no product sales for the three months ended September 30, 2012.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we began to earn royalties on Oxecta net sales starting in February 2013. Pfizer will pay us a royalty at one of six rates ranging from 5% to 25% based on the level of annual net sales for Oxecta across all Pfizer Territories, with the highest applicable royalty rate applied to such annual sales. These royalties are based on net sales of Oxecta reported to us by Pfizer being paid to us within 45 days after the end of each calendar quarter. We recorded royalties of approximately $8 thousand for the nine months ended September 30, 2013 on Pfizer’s net sales of Oxecta of approximately $165 thousand.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third party acquisition costs, third party warehousing and product distribution charges and inventory reserve charges for the Nexafed product line. During the second quarter of this year, we established an inventory reserve of $0.4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R&amp;D expense during the nine months ended September 30, 2013 were primarily for our Aversion development expenses and for the nine months ended 2012 were for product candidates utilizing either our Aversion or our Impede® Technologies, including costs of preclinical, clinical trials, clinical supplies and related formulation and design costs, salaries and other personnel related expenses, and facility costs. Included in each of the 2013 and 2012 results are non-cash share-based compensation expenses of $0.2 million and $0.3 million, respectively. Excluding the share-based compensation expense, our R&amp;D expenses increased approximately $1.7 million between reporting periods primarily from our Aversion development expenses on our hydrocodone/acetaminophen product candidate.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and marketing expenses during the nine months ended September 30, 2013 primarily consisted of advertising and marketing activities on Nexafed which was launched in December 2012. Selling and marketing expenses during the nine months ended September 30, 2012 primarily consisted of market research studies on our Aversion and Impede® Technologies. Our Nexafed advertising and marketing activities will continue in 2013. Our G&amp;A expenses primarily consisted of legal, audit and other professional services, corporate insurance, and payroll. Included in the 2013 and 2012 results are non-cash share-based compensation expenses of $0.7 million and $1.0 million, respectively. Excluding the share-based compensation expense our selling, marketing, general and administrative expenses increased approximately $2.3 million between reporting periods, primarily for the advertising and marketing activities on Nexafed of $0.5 million, legal services on our paragraph IV litigation of $1.3 million, patent and trademark services of $0.2 million and general corporate legal matters of $0.3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2013 and 2012, other non-operating income consisted principally of investment income derived from our cash reserves being invested in accordance with a Board of Director approved investment policy.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loss for the nine months ended September 30, 2013 and 2012 includes no federal or state income tax benefit provisions due to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2013, the Company had cash, cash equivalents and marketable securities of $19.4 million compared to $27.4 million at December 31, 2012. The Company had working capital of $19.7 million at September 30, 2013 compared to $26.6 million at December 31, 2012. The decrease in our cash position is primarily due to our period’s net operating loss which is adjusted for non-cash share-based compensation expenses. Our net loss includes our advertising and marketing activities on Nexafed of $1.1 million and our legal expenses incurred in our paragraph IV ANDA litigation of $1.3 million. The decrease in our cash position includes our payment of employees’ withholding taxes of $0.7 million associated with their option exercises and RSU exchanges during such period, offset by $3.2 million in net proceeds raised from our ATM offering activities.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30, 2013, the Company had cash, cash equivalents and marketable securities of approximately $18.7 million. We estimate that our current cash reserves will be sufficient to fund operations through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financing activities for the quarter ended September 30, 2013 that provided approximately $3.1 million in cash. During the quarter, we sold approximately1.83 million shares of our common stock through a registered “at the market” offering program. See Note 10 to the Company’s consolidated financial statements contained in this Report for a discussion of the “at the market” offering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2012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2012 Annual Report are also applicable to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618" w:val="left"/>
        </w:tabs>
        <w:numPr>
          <w:ilvl w:val="0"/>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205" w:lineRule="exact"/>
        <w:rPr>
          <w:rFonts w:ascii="Arial" w:cs="Arial" w:eastAsia="Arial" w:hAnsi="Arial"/>
          <w:sz w:val="17"/>
          <w:szCs w:val="17"/>
          <w:color w:val="auto"/>
        </w:rPr>
      </w:pPr>
    </w:p>
    <w:p>
      <w:pPr>
        <w:ind w:firstLine="8"/>
        <w:spacing w:after="0" w:line="308" w:lineRule="auto"/>
        <w:tabs>
          <w:tab w:leader="none" w:pos="565" w:val="left"/>
        </w:tabs>
        <w:numPr>
          <w:ilvl w:val="0"/>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2013 that have materially affected, or are reasonably likely to materially affect, our internal controls over financial reporting.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4, “License, Development, and Commercialization Agreement – Paragraph IV ANDA Litigation”, and Note 13, “Commitments and Contingencies,” in Part I, Item 1,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The exhibits required by this Item are listed below.</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92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800" w:type="dxa"/>
            <w:vAlign w:val="bottom"/>
          </w:tcPr>
          <w:p>
            <w:pPr>
              <w:spacing w:after="0"/>
              <w:rPr>
                <w:sz w:val="20"/>
                <w:szCs w:val="20"/>
                <w:color w:val="auto"/>
              </w:rPr>
            </w:pPr>
          </w:p>
        </w:tc>
        <w:tc>
          <w:tcPr>
            <w:tcW w:w="10620" w:type="dxa"/>
            <w:vAlign w:val="bottom"/>
          </w:tcPr>
          <w:p>
            <w:pPr>
              <w:ind w:left="920"/>
              <w:spacing w:after="0"/>
              <w:rPr>
                <w:sz w:val="20"/>
                <w:szCs w:val="20"/>
                <w:color w:val="auto"/>
              </w:rPr>
            </w:pPr>
            <w:r>
              <w:rPr>
                <w:rFonts w:ascii="Arial" w:cs="Arial" w:eastAsia="Arial" w:hAnsi="Arial"/>
                <w:sz w:val="18"/>
                <w:szCs w:val="18"/>
                <w:color w:val="auto"/>
              </w:rPr>
              <w:t>1934.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92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800" w:type="dxa"/>
            <w:vAlign w:val="bottom"/>
          </w:tcPr>
          <w:p>
            <w:pPr>
              <w:spacing w:after="0"/>
              <w:rPr>
                <w:sz w:val="20"/>
                <w:szCs w:val="20"/>
                <w:color w:val="auto"/>
              </w:rPr>
            </w:pPr>
          </w:p>
        </w:tc>
        <w:tc>
          <w:tcPr>
            <w:tcW w:w="10620" w:type="dxa"/>
            <w:vAlign w:val="bottom"/>
          </w:tcPr>
          <w:p>
            <w:pPr>
              <w:ind w:left="920"/>
              <w:spacing w:after="0"/>
              <w:rPr>
                <w:sz w:val="20"/>
                <w:szCs w:val="20"/>
                <w:color w:val="auto"/>
              </w:rPr>
            </w:pPr>
            <w:r>
              <w:rPr>
                <w:rFonts w:ascii="Arial" w:cs="Arial" w:eastAsia="Arial" w:hAnsi="Arial"/>
                <w:sz w:val="18"/>
                <w:szCs w:val="18"/>
                <w:color w:val="auto"/>
              </w:rPr>
              <w:t>1934.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920"/>
              <w:spacing w:after="0"/>
              <w:rPr>
                <w:sz w:val="20"/>
                <w:szCs w:val="20"/>
                <w:color w:val="auto"/>
              </w:rPr>
            </w:pPr>
            <w:r>
              <w:rPr>
                <w:rFonts w:ascii="Arial" w:cs="Arial" w:eastAsia="Arial" w:hAnsi="Arial"/>
                <w:sz w:val="18"/>
                <w:szCs w:val="18"/>
                <w:color w:val="auto"/>
                <w:w w:val="94"/>
              </w:rPr>
              <w:t>Certification of Periodic Report by the Chief Executive Officer and Chief Financial Officer pursuant to 18 U.S.C. Section 1350, as</w:t>
            </w:r>
          </w:p>
        </w:tc>
      </w:tr>
      <w:tr>
        <w:trPr>
          <w:trHeight w:val="230"/>
        </w:trPr>
        <w:tc>
          <w:tcPr>
            <w:tcW w:w="800" w:type="dxa"/>
            <w:vAlign w:val="bottom"/>
          </w:tcPr>
          <w:p>
            <w:pPr>
              <w:spacing w:after="0"/>
              <w:rPr>
                <w:sz w:val="20"/>
                <w:szCs w:val="20"/>
                <w:color w:val="auto"/>
              </w:rPr>
            </w:pPr>
          </w:p>
        </w:tc>
        <w:tc>
          <w:tcPr>
            <w:tcW w:w="10620" w:type="dxa"/>
            <w:vAlign w:val="bottom"/>
          </w:tcPr>
          <w:p>
            <w:pPr>
              <w:ind w:left="9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Instance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20"/>
        <w:spacing w:after="0"/>
        <w:tabs>
          <w:tab w:leader="none" w:pos="5700" w:val="left"/>
        </w:tabs>
        <w:rPr>
          <w:sz w:val="20"/>
          <w:szCs w:val="20"/>
          <w:color w:val="auto"/>
        </w:rPr>
      </w:pPr>
      <w:r>
        <w:rPr>
          <w:rFonts w:ascii="Arial" w:cs="Arial" w:eastAsia="Arial" w:hAnsi="Arial"/>
          <w:sz w:val="18"/>
          <w:szCs w:val="18"/>
          <w:color w:val="auto"/>
        </w:rPr>
        <w:t>October 30, 2013</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700" w:hanging="368"/>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7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660" w:right="20" w:hanging="328"/>
        <w:spacing w:after="0" w:line="342" w:lineRule="auto"/>
        <w:tabs>
          <w:tab w:leader="none" w:pos="8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220" w:hanging="328"/>
        <w:spacing w:after="0" w:line="264" w:lineRule="auto"/>
        <w:tabs>
          <w:tab w:leader="none" w:pos="6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0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15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80" w:hanging="24"/>
        <w:spacing w:after="0" w:line="308" w:lineRule="auto"/>
        <w:tabs>
          <w:tab w:leader="none" w:pos="1183"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24"/>
        <w:spacing w:after="0" w:line="342" w:lineRule="auto"/>
        <w:tabs>
          <w:tab w:leader="none" w:pos="10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1001"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820"/>
              <w:spacing w:after="0"/>
              <w:rPr>
                <w:sz w:val="20"/>
                <w:szCs w:val="20"/>
                <w:color w:val="auto"/>
              </w:rPr>
            </w:pPr>
            <w:r>
              <w:rPr>
                <w:rFonts w:ascii="Arial" w:cs="Arial" w:eastAsia="Arial" w:hAnsi="Arial"/>
                <w:sz w:val="18"/>
                <w:szCs w:val="18"/>
                <w:color w:val="auto"/>
              </w:rPr>
              <w:t>October 30, 2013</w:t>
            </w: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8360" w:type="dxa"/>
            <w:vAlign w:val="bottom"/>
          </w:tcPr>
          <w:p>
            <w:pPr>
              <w:spacing w:after="0"/>
              <w:rPr>
                <w:sz w:val="16"/>
                <w:szCs w:val="16"/>
                <w:color w:val="auto"/>
              </w:rPr>
            </w:pPr>
          </w:p>
        </w:tc>
        <w:tc>
          <w:tcPr>
            <w:tcW w:w="306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836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83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7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7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122"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9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860"/>
              <w:spacing w:after="0"/>
              <w:rPr>
                <w:sz w:val="20"/>
                <w:szCs w:val="20"/>
                <w:color w:val="auto"/>
              </w:rPr>
            </w:pPr>
            <w:r>
              <w:rPr>
                <w:rFonts w:ascii="Arial" w:cs="Arial" w:eastAsia="Arial" w:hAnsi="Arial"/>
                <w:sz w:val="18"/>
                <w:szCs w:val="18"/>
                <w:color w:val="auto"/>
              </w:rPr>
              <w:t>October 30, 2013</w:t>
            </w:r>
          </w:p>
        </w:tc>
        <w:tc>
          <w:tcPr>
            <w:tcW w:w="3220" w:type="dxa"/>
            <w:vAlign w:val="bottom"/>
          </w:tcPr>
          <w:p>
            <w:pPr>
              <w:spacing w:after="0"/>
              <w:rPr>
                <w:sz w:val="20"/>
                <w:szCs w:val="20"/>
                <w:color w:val="auto"/>
              </w:rPr>
            </w:pPr>
          </w:p>
        </w:tc>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A. Clemens</w:t>
            </w:r>
          </w:p>
        </w:tc>
      </w:tr>
      <w:tr>
        <w:trPr>
          <w:trHeight w:val="195"/>
        </w:trPr>
        <w:tc>
          <w:tcPr>
            <w:tcW w:w="5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40" w:type="dxa"/>
            <w:vAlign w:val="bottom"/>
          </w:tcPr>
          <w:p>
            <w:pPr>
              <w:ind w:left="40"/>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360" w:type="dxa"/>
            <w:vAlign w:val="bottom"/>
          </w:tcPr>
          <w:p>
            <w:pPr>
              <w:spacing w:after="0"/>
              <w:rPr>
                <w:sz w:val="20"/>
                <w:szCs w:val="20"/>
                <w:color w:val="auto"/>
              </w:rPr>
            </w:pPr>
          </w:p>
        </w:tc>
        <w:tc>
          <w:tcPr>
            <w:tcW w:w="6060" w:type="dxa"/>
            <w:vAlign w:val="bottom"/>
            <w:gridSpan w:val="2"/>
          </w:tcPr>
          <w:p>
            <w:pPr>
              <w:ind w:left="3220"/>
              <w:spacing w:after="0"/>
              <w:rPr>
                <w:sz w:val="20"/>
                <w:szCs w:val="20"/>
                <w:color w:val="auto"/>
              </w:rPr>
            </w:pPr>
            <w:r>
              <w:rPr>
                <w:rFonts w:ascii="Arial" w:cs="Arial" w:eastAsia="Arial" w:hAnsi="Arial"/>
                <w:sz w:val="18"/>
                <w:szCs w:val="18"/>
                <w:color w:val="auto"/>
              </w:rPr>
              <w:t>Chief Financial Officer</w:t>
            </w:r>
          </w:p>
        </w:tc>
      </w:tr>
      <w:tr>
        <w:trPr>
          <w:trHeight w:val="432"/>
        </w:trPr>
        <w:tc>
          <w:tcPr>
            <w:tcW w:w="53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7" w:right="239" w:bottom="1440" w:gutter="0" w:footer="0" w:header="0"/>
        </w:sectPr>
      </w:pPr>
    </w:p>
    <w:bookmarkStart w:id="31" w:name="page32"/>
    <w:bookmarkEnd w:id="31"/>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September 30, 2013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560" w:hanging="293"/>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93"/>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ind w:left="880"/>
              <w:spacing w:after="0"/>
              <w:rPr>
                <w:sz w:val="20"/>
                <w:szCs w:val="20"/>
                <w:color w:val="auto"/>
              </w:rPr>
            </w:pPr>
            <w:r>
              <w:rPr>
                <w:rFonts w:ascii="Arial" w:cs="Arial" w:eastAsia="Arial" w:hAnsi="Arial"/>
                <w:sz w:val="18"/>
                <w:szCs w:val="18"/>
                <w:color w:val="auto"/>
              </w:rPr>
              <w:t>October 30, 2013</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80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80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806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 Peter A. Clemens</w:t>
            </w:r>
          </w:p>
        </w:tc>
      </w:tr>
      <w:tr>
        <w:trPr>
          <w:trHeight w:val="27"/>
        </w:trPr>
        <w:tc>
          <w:tcPr>
            <w:tcW w:w="80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95"/>
        </w:trPr>
        <w:tc>
          <w:tcPr>
            <w:tcW w:w="80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80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59"/>
        </w:trPr>
        <w:tc>
          <w:tcPr>
            <w:tcW w:w="8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2019-12-05T22:21:24Z</dcterms:created>
  <dcterms:modified xsi:type="dcterms:W3CDTF">2019-12-05T22:21:24Z</dcterms:modified>
</cp:coreProperties>
</file>