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9"/>
        </w:trPr>
        <w:tc>
          <w:tcPr>
            <w:tcW w:w="1300" w:type="dxa"/>
            <w:vAlign w:val="bottom"/>
          </w:tcPr>
          <w:p>
            <w:pPr>
              <w:spacing w:after="0"/>
              <w:rPr>
                <w:sz w:val="19"/>
                <w:szCs w:val="19"/>
                <w:color w:val="auto"/>
              </w:rPr>
            </w:pPr>
          </w:p>
        </w:tc>
        <w:tc>
          <w:tcPr>
            <w:tcW w:w="6240" w:type="dxa"/>
            <w:vAlign w:val="bottom"/>
            <w:tcBorders>
              <w:right w:val="single" w:sz="8" w:color="auto"/>
            </w:tcBorders>
            <w:vMerge w:val="restart"/>
          </w:tcPr>
          <w:p>
            <w:pPr>
              <w:jc w:val="center"/>
              <w:ind w:left="1865"/>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7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OMB APPROVAL</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6240" w:type="dxa"/>
            <w:vAlign w:val="bottom"/>
            <w:tcBorders>
              <w:right w:val="single" w:sz="8" w:color="auto"/>
            </w:tcBorders>
            <w:vMerge w:val="continue"/>
          </w:tcPr>
          <w:p>
            <w:pPr>
              <w:spacing w:after="0"/>
              <w:rPr>
                <w:sz w:val="15"/>
                <w:szCs w:val="15"/>
                <w:color w:val="auto"/>
              </w:rPr>
            </w:pPr>
          </w:p>
        </w:tc>
        <w:tc>
          <w:tcPr>
            <w:tcW w:w="196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color w:val="auto"/>
              </w:rPr>
              <w:t>OMB Number:</w:t>
            </w:r>
          </w:p>
        </w:tc>
        <w:tc>
          <w:tcPr>
            <w:tcW w:w="176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3235-0058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240" w:type="dxa"/>
            <w:vAlign w:val="bottom"/>
            <w:tcBorders>
              <w:right w:val="single" w:sz="8" w:color="auto"/>
            </w:tcBorders>
          </w:tcPr>
          <w:p>
            <w:pPr>
              <w:jc w:val="center"/>
              <w:ind w:left="186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Expires:</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2028</w:t>
            </w: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6240" w:type="dxa"/>
            <w:vAlign w:val="bottom"/>
            <w:tcBorders>
              <w:right w:val="single" w:sz="8" w:color="auto"/>
            </w:tcBorders>
          </w:tcPr>
          <w:p>
            <w:pPr>
              <w:jc w:val="center"/>
              <w:ind w:left="1845"/>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average burden</w:t>
            </w: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40" w:type="dxa"/>
            <w:vAlign w:val="bottom"/>
            <w:tcBorders>
              <w:right w:val="single" w:sz="8" w:color="auto"/>
            </w:tcBorders>
          </w:tcPr>
          <w:p>
            <w:pPr>
              <w:spacing w:after="0"/>
              <w:rPr>
                <w:sz w:val="20"/>
                <w:szCs w:val="20"/>
                <w:color w:val="auto"/>
              </w:rPr>
            </w:pP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hours per response.</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7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6240" w:type="dxa"/>
            <w:vAlign w:val="bottom"/>
            <w:tcBorders>
              <w:right w:val="single" w:sz="8" w:color="auto"/>
            </w:tcBorders>
            <w:vMerge w:val="restart"/>
          </w:tcPr>
          <w:p>
            <w:pPr>
              <w:jc w:val="center"/>
              <w:ind w:left="1865"/>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37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6240" w:type="dxa"/>
            <w:vAlign w:val="bottom"/>
            <w:tcBorders>
              <w:right w:val="single" w:sz="8" w:color="auto"/>
            </w:tcBorders>
            <w:vMerge w:val="continue"/>
          </w:tcPr>
          <w:p>
            <w:pPr>
              <w:spacing w:after="0"/>
              <w:rPr>
                <w:sz w:val="14"/>
                <w:szCs w:val="14"/>
                <w:color w:val="auto"/>
              </w:rPr>
            </w:pPr>
          </w:p>
        </w:tc>
        <w:tc>
          <w:tcPr>
            <w:tcW w:w="3720" w:type="dxa"/>
            <w:vAlign w:val="bottom"/>
            <w:tcBorders>
              <w:right w:val="single" w:sz="8" w:color="auto"/>
            </w:tcBorders>
            <w:gridSpan w:val="2"/>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1-10113</w:t>
            </w:r>
          </w:p>
        </w:tc>
        <w:tc>
          <w:tcPr>
            <w:tcW w:w="0" w:type="dxa"/>
            <w:vAlign w:val="bottom"/>
          </w:tcPr>
          <w:p>
            <w:pPr>
              <w:spacing w:after="0"/>
              <w:rPr>
                <w:sz w:val="1"/>
                <w:szCs w:val="1"/>
                <w:color w:val="auto"/>
              </w:rPr>
            </w:pPr>
          </w:p>
        </w:tc>
      </w:tr>
      <w:tr>
        <w:trPr>
          <w:trHeight w:val="78"/>
        </w:trPr>
        <w:tc>
          <w:tcPr>
            <w:tcW w:w="1300" w:type="dxa"/>
            <w:vAlign w:val="bottom"/>
          </w:tcPr>
          <w:p>
            <w:pPr>
              <w:spacing w:after="0"/>
              <w:rPr>
                <w:sz w:val="6"/>
                <w:szCs w:val="6"/>
                <w:color w:val="auto"/>
              </w:rPr>
            </w:pPr>
          </w:p>
        </w:tc>
        <w:tc>
          <w:tcPr>
            <w:tcW w:w="6240" w:type="dxa"/>
            <w:vAlign w:val="bottom"/>
            <w:tcBorders>
              <w:right w:val="single" w:sz="8" w:color="auto"/>
            </w:tcBorders>
          </w:tcPr>
          <w:p>
            <w:pPr>
              <w:spacing w:after="0"/>
              <w:rPr>
                <w:sz w:val="6"/>
                <w:szCs w:val="6"/>
                <w:color w:val="auto"/>
              </w:rPr>
            </w:pPr>
          </w:p>
        </w:tc>
        <w:tc>
          <w:tcPr>
            <w:tcW w:w="37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6240" w:type="dxa"/>
            <w:vAlign w:val="bottom"/>
            <w:tcBorders>
              <w:right w:val="single" w:sz="8" w:color="auto"/>
            </w:tcBorders>
            <w:vMerge w:val="restart"/>
          </w:tcPr>
          <w:p>
            <w:pPr>
              <w:jc w:val="center"/>
              <w:ind w:left="1865"/>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7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40" w:type="dxa"/>
            <w:vAlign w:val="bottom"/>
            <w:tcBorders>
              <w:right w:val="single" w:sz="8" w:color="auto"/>
            </w:tcBorders>
            <w:vMerge w:val="continue"/>
          </w:tcPr>
          <w:p>
            <w:pPr>
              <w:spacing w:after="0"/>
              <w:rPr>
                <w:sz w:val="20"/>
                <w:szCs w:val="20"/>
                <w:color w:val="auto"/>
              </w:rPr>
            </w:pPr>
          </w:p>
        </w:tc>
        <w:tc>
          <w:tcPr>
            <w:tcW w:w="3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00509L 802</w:t>
            </w: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8200" w:type="dxa"/>
            <w:vAlign w:val="bottom"/>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 ]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1760" w:type="dxa"/>
            <w:vAlign w:val="bottom"/>
          </w:tcPr>
          <w:p>
            <w:pPr>
              <w:jc w:val="right"/>
              <w:ind w:right="4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0" w:type="dxa"/>
            <w:vAlign w:val="bottom"/>
          </w:tcPr>
          <w:p>
            <w:pPr>
              <w:spacing w:after="0"/>
              <w:rPr>
                <w:sz w:val="1"/>
                <w:szCs w:val="1"/>
                <w:color w:val="auto"/>
              </w:rPr>
            </w:pPr>
          </w:p>
        </w:tc>
      </w:tr>
      <w:tr>
        <w:trPr>
          <w:trHeight w:val="404"/>
        </w:trPr>
        <w:tc>
          <w:tcPr>
            <w:tcW w:w="1300" w:type="dxa"/>
            <w:vAlign w:val="bottom"/>
          </w:tcPr>
          <w:p>
            <w:pPr>
              <w:spacing w:after="0"/>
              <w:rPr>
                <w:sz w:val="24"/>
                <w:szCs w:val="24"/>
                <w:color w:val="auto"/>
              </w:rPr>
            </w:pP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Period Ended: March 31, 2026</w:t>
            </w: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10-K</w:t>
      </w:r>
    </w:p>
    <w:p>
      <w:pPr>
        <w:spacing w:after="0" w:line="70" w:lineRule="exact"/>
        <w:rPr>
          <w:sz w:val="24"/>
          <w:szCs w:val="24"/>
          <w:color w:val="auto"/>
        </w:rPr>
      </w:pP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20-F</w:t>
      </w:r>
    </w:p>
    <w:p>
      <w:pPr>
        <w:spacing w:after="0" w:line="9" w:lineRule="exact"/>
        <w:rPr>
          <w:sz w:val="24"/>
          <w:szCs w:val="24"/>
          <w:color w:val="auto"/>
        </w:rPr>
      </w:pP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11-K</w:t>
      </w:r>
    </w:p>
    <w:p>
      <w:pPr>
        <w:spacing w:after="0" w:line="9" w:lineRule="exact"/>
        <w:rPr>
          <w:sz w:val="24"/>
          <w:szCs w:val="24"/>
          <w:color w:val="auto"/>
        </w:rPr>
      </w:pP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10-Q</w:t>
      </w:r>
    </w:p>
    <w:p>
      <w:pPr>
        <w:spacing w:after="0" w:line="205"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Palatine, IL 60067-8121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114300</wp:posOffset>
            </wp:positionV>
            <wp:extent cx="8255" cy="1028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250" w:lineRule="exact"/>
        <w:rPr>
          <w:sz w:val="20"/>
          <w:szCs w:val="20"/>
          <w:color w:val="auto"/>
        </w:rPr>
      </w:pPr>
    </w:p>
    <w:p>
      <w:pPr>
        <w:ind w:left="800" w:hanging="333"/>
        <w:spacing w:after="0"/>
        <w:tabs>
          <w:tab w:leader="none" w:pos="8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17"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annual report, semi-annual report, transition report on Form 10-K, Form 20-F, Form 11-K, Form N-CEN or Form N-CSR, or portion</w:t>
      </w:r>
    </w:p>
    <w:p>
      <w:pPr>
        <w:spacing w:after="0" w:line="38" w:lineRule="exact"/>
        <w:rPr>
          <w:rFonts w:ascii="Times New Roman" w:cs="Times New Roman" w:eastAsia="Times New Roman" w:hAnsi="Times New Roman"/>
          <w:sz w:val="17"/>
          <w:szCs w:val="17"/>
          <w:color w:val="auto"/>
        </w:rPr>
      </w:pPr>
    </w:p>
    <w:p>
      <w:pPr>
        <w:ind w:left="800" w:right="80" w:hanging="742"/>
        <w:spacing w:after="0" w:line="187" w:lineRule="auto"/>
        <w:tabs>
          <w:tab w:leader="none" w:pos="800" w:val="left"/>
        </w:tabs>
        <w:numPr>
          <w:ilvl w:val="0"/>
          <w:numId w:val="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p>
      <w:pPr>
        <w:spacing w:after="0" w:line="92" w:lineRule="exact"/>
        <w:rPr>
          <w:rFonts w:ascii="Times New Roman" w:cs="Times New Roman" w:eastAsia="Times New Roman" w:hAnsi="Times New Roman"/>
          <w:sz w:val="36"/>
          <w:szCs w:val="36"/>
          <w:color w:val="auto"/>
          <w:vertAlign w:val="subscript"/>
        </w:rPr>
      </w:pPr>
    </w:p>
    <w:p>
      <w:pPr>
        <w:ind w:left="800" w:hanging="333"/>
        <w:spacing w:after="0"/>
        <w:tabs>
          <w:tab w:leader="none" w:pos="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Registrant’s Quarterly Report on Form 10-Q for the quarterly period ended March 31, 2026 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2022, December 31, 2023, December 31, 2024 and December 31 2025. We have not filed our Quarterly Reports for any of the quarterly periods in our fiscal year of 2022, 2023, 2024 and 2025. We have halted our public accounting firm’s review services on each of our 2022 and 2023 quarterly results and their audit services on our 2022 and 2023 annual results, pending finding funding solutions and/or the receipt of loans from Abuse Deterrent Pharma, LLC; which may meet day-to-day operation obligations on a longer term basis. We have not engaged the independent registered public accounting firm for their review and audit services on our quarterly and annual results for 2024, 2025 or 2026.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A. Seiser</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847</w:t>
            </w:r>
          </w:p>
        </w:tc>
        <w:tc>
          <w:tcPr>
            <w:tcW w:w="28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705-7709</w:t>
            </w:r>
          </w:p>
        </w:tc>
      </w:tr>
      <w:tr>
        <w:trPr>
          <w:trHeight w:val="228"/>
        </w:trPr>
        <w:tc>
          <w:tcPr>
            <w:tcW w:w="5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left="580" w:hanging="572"/>
        <w:spacing w:after="0" w:line="257"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sz w:val="20"/>
          <w:szCs w:val="20"/>
          <w:color w:val="auto"/>
        </w:rPr>
      </w:pPr>
    </w:p>
    <w:p>
      <w:pPr>
        <w:ind w:left="9880"/>
        <w:spacing w:after="0"/>
        <w:tabs>
          <w:tab w:leader="none" w:pos="10600" w:val="left"/>
        </w:tabs>
        <w:rPr>
          <w:sz w:val="20"/>
          <w:szCs w:val="20"/>
          <w:color w:val="auto"/>
        </w:rPr>
      </w:pPr>
      <w:r>
        <w:rPr>
          <w:rFonts w:ascii="Times New Roman" w:cs="Times New Roman" w:eastAsia="Times New Roman" w:hAnsi="Times New Roman"/>
          <w:sz w:val="18"/>
          <w:szCs w:val="18"/>
          <w:color w:val="auto"/>
        </w:rPr>
        <w:t>Yes [ ]</w:t>
        <w:tab/>
        <w:t>NO [√ ]</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Quarterly Reports for each of the quarterly periods during 2025, 2024, 2023 and 2022, as well as the Quarterly Report for the quarterly period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ending March 31, 2026, have not been filed. The Annual Report for the annual periods ended December 31, 2025, 2024, 2023 and 2022 have not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772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ind w:left="580" w:right="340" w:hanging="572"/>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9880"/>
        <w:spacing w:after="0"/>
        <w:tabs>
          <w:tab w:leader="none" w:pos="10660" w:val="left"/>
        </w:tabs>
        <w:rPr>
          <w:sz w:val="20"/>
          <w:szCs w:val="20"/>
          <w:color w:val="auto"/>
        </w:rPr>
      </w:pPr>
      <w:r>
        <w:rPr>
          <w:rFonts w:ascii="Times New Roman" w:cs="Times New Roman" w:eastAsia="Times New Roman" w:hAnsi="Times New Roman"/>
          <w:sz w:val="18"/>
          <w:szCs w:val="18"/>
          <w:color w:val="auto"/>
        </w:rPr>
        <w:t>Yes [_]</w:t>
        <w:tab/>
        <w:t>NO [√]</w:t>
      </w:r>
    </w:p>
    <w:p>
      <w:pPr>
        <w:spacing w:after="0" w:line="9" w:lineRule="exact"/>
        <w:rPr>
          <w:sz w:val="20"/>
          <w:szCs w:val="20"/>
          <w:color w:val="auto"/>
        </w:rPr>
      </w:pPr>
    </w:p>
    <w:p>
      <w:pPr>
        <w:ind w:left="580" w:right="340"/>
        <w:spacing w:after="0" w:line="260"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060"/>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840" w:val="left"/>
        </w:tabs>
        <w:rPr>
          <w:sz w:val="20"/>
          <w:szCs w:val="20"/>
          <w:color w:val="auto"/>
        </w:rPr>
      </w:pPr>
      <w:r>
        <w:rPr>
          <w:rFonts w:ascii="Times New Roman" w:cs="Times New Roman" w:eastAsia="Times New Roman" w:hAnsi="Times New Roman"/>
          <w:sz w:val="18"/>
          <w:szCs w:val="18"/>
          <w:color w:val="auto"/>
        </w:rPr>
        <w:t>Date:</w:t>
        <w:tab/>
        <w:t>May 13, 2026</w:t>
      </w:r>
      <w:r>
        <w:rPr>
          <w:sz w:val="20"/>
          <w:szCs w:val="20"/>
          <w:color w:val="auto"/>
        </w:rPr>
        <w:tab/>
      </w:r>
      <w:r>
        <w:rPr>
          <w:rFonts w:ascii="Times New Roman" w:cs="Times New Roman" w:eastAsia="Times New Roman" w:hAnsi="Times New Roman"/>
          <w:sz w:val="18"/>
          <w:szCs w:val="18"/>
          <w:color w:val="auto"/>
        </w:rPr>
        <w:t>By: /s/ Robert A. Seiser, Senior 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lowerLetter"/>
      <w:start w:val="1"/>
    </w:lvl>
  </w:abstractNum>
  <w:abstractNum w:abstractNumId="1">
    <w:nsid w:val="2AE8944A"/>
    <w:multiLevelType w:val="hybridMultilevel"/>
    <w:lvl w:ilvl="0">
      <w:lvlJc w:val="left"/>
      <w:lvlText w:val="[√]"/>
      <w:numFmt w:val="bullet"/>
      <w:start w:val="1"/>
    </w:lvl>
    <w:lvl w:ilvl="1">
      <w:lvlJc w:val="left"/>
      <w:lvlText w:val="(%2)"/>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2026-05-13T07:24:44Z</dcterms:created>
  <dcterms:modified xsi:type="dcterms:W3CDTF">2026-05-13T07:24:44Z</dcterms:modified>
</cp:coreProperties>
</file>