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660" w:right="1560" w:hanging="652"/>
        <w:spacing w:after="0" w:line="49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40" w:right="1380" w:hanging="132"/>
        <w:spacing w:after="0" w:line="501" w:lineRule="auto"/>
        <w:tabs>
          <w:tab w:leader="none" w:pos="65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tbl>
      <w:tblPr>
        <w:tblLayout w:type="fixed"/>
        <w:tblInd w:w="136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5640" w:type="dxa"/>
            <w:vAlign w:val="bottom"/>
            <w:gridSpan w:val="2"/>
          </w:tcPr>
          <w:p>
            <w:pPr>
              <w:jc w:val="center"/>
              <w:ind w:right="2670"/>
              <w:spacing w:after="0"/>
              <w:rPr>
                <w:sz w:val="20"/>
                <w:szCs w:val="20"/>
                <w:color w:val="auto"/>
              </w:rPr>
            </w:pPr>
            <w:r>
              <w:rPr>
                <w:rFonts w:ascii="Arial" w:cs="Arial" w:eastAsia="Arial" w:hAnsi="Arial"/>
                <w:sz w:val="18"/>
                <w:szCs w:val="18"/>
                <w:b w:val="1"/>
                <w:bCs w:val="1"/>
                <w:color w:val="auto"/>
                <w:w w:val="90"/>
              </w:rPr>
              <w:t>Commission File Number 1-10113</w:t>
            </w:r>
          </w:p>
        </w:tc>
      </w:tr>
      <w:tr>
        <w:trPr>
          <w:trHeight w:val="270"/>
        </w:trPr>
        <w:tc>
          <w:tcPr>
            <w:tcW w:w="2920" w:type="dxa"/>
            <w:vAlign w:val="bottom"/>
          </w:tcPr>
          <w:p>
            <w:pPr>
              <w:spacing w:after="0"/>
              <w:rPr>
                <w:sz w:val="23"/>
                <w:szCs w:val="23"/>
                <w:color w:val="auto"/>
              </w:rPr>
            </w:pPr>
          </w:p>
        </w:tc>
        <w:tc>
          <w:tcPr>
            <w:tcW w:w="2860" w:type="dxa"/>
            <w:vAlign w:val="bottom"/>
            <w:tcBorders>
              <w:bottom w:val="single" w:sz="8" w:color="auto"/>
            </w:tcBorders>
          </w:tcPr>
          <w:p>
            <w:pPr>
              <w:spacing w:after="0"/>
              <w:rPr>
                <w:sz w:val="23"/>
                <w:szCs w:val="23"/>
                <w:color w:val="auto"/>
              </w:rPr>
            </w:pPr>
          </w:p>
        </w:tc>
        <w:tc>
          <w:tcPr>
            <w:tcW w:w="2780" w:type="dxa"/>
            <w:vAlign w:val="bottom"/>
          </w:tcPr>
          <w:p>
            <w:pPr>
              <w:spacing w:after="0"/>
              <w:rPr>
                <w:sz w:val="23"/>
                <w:szCs w:val="23"/>
                <w:color w:val="auto"/>
              </w:rPr>
            </w:pPr>
          </w:p>
        </w:tc>
      </w:tr>
      <w:tr>
        <w:trPr>
          <w:trHeight w:val="492"/>
        </w:trPr>
        <w:tc>
          <w:tcPr>
            <w:tcW w:w="2920" w:type="dxa"/>
            <w:vAlign w:val="bottom"/>
          </w:tcPr>
          <w:p>
            <w:pPr>
              <w:spacing w:after="0"/>
              <w:rPr>
                <w:sz w:val="24"/>
                <w:szCs w:val="24"/>
                <w:color w:val="auto"/>
              </w:rPr>
            </w:pPr>
          </w:p>
        </w:tc>
        <w:tc>
          <w:tcPr>
            <w:tcW w:w="5640" w:type="dxa"/>
            <w:vAlign w:val="bottom"/>
            <w:gridSpan w:val="2"/>
          </w:tcPr>
          <w:p>
            <w:pPr>
              <w:jc w:val="center"/>
              <w:ind w:right="2690"/>
              <w:spacing w:after="0"/>
              <w:rPr>
                <w:sz w:val="20"/>
                <w:szCs w:val="20"/>
                <w:color w:val="auto"/>
              </w:rPr>
            </w:pPr>
            <w:r>
              <w:rPr>
                <w:rFonts w:ascii="Arial" w:cs="Arial" w:eastAsia="Arial" w:hAnsi="Arial"/>
                <w:sz w:val="18"/>
                <w:szCs w:val="18"/>
                <w:b w:val="1"/>
                <w:bCs w:val="1"/>
                <w:color w:val="auto"/>
                <w:w w:val="90"/>
              </w:rPr>
              <w:t>Acura Pharmaceuticals, Inc.</w:t>
            </w:r>
          </w:p>
        </w:tc>
      </w:tr>
      <w:tr>
        <w:trPr>
          <w:trHeight w:val="230"/>
        </w:trPr>
        <w:tc>
          <w:tcPr>
            <w:tcW w:w="8560" w:type="dxa"/>
            <w:vAlign w:val="bottom"/>
            <w:gridSpan w:val="3"/>
          </w:tcPr>
          <w:p>
            <w:pPr>
              <w:ind w:left="2800"/>
              <w:spacing w:after="0"/>
              <w:rPr>
                <w:sz w:val="20"/>
                <w:szCs w:val="20"/>
                <w:color w:val="auto"/>
              </w:rPr>
            </w:pPr>
            <w:r>
              <w:rPr>
                <w:rFonts w:ascii="Arial" w:cs="Arial" w:eastAsia="Arial" w:hAnsi="Arial"/>
                <w:sz w:val="18"/>
                <w:szCs w:val="18"/>
                <w:i w:val="1"/>
                <w:iCs w:val="1"/>
                <w:color w:val="auto"/>
              </w:rPr>
              <w:t>(Exact name of registrant as specified in its charter)</w:t>
            </w:r>
          </w:p>
        </w:tc>
      </w:tr>
      <w:tr>
        <w:trPr>
          <w:trHeight w:val="418"/>
        </w:trPr>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564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92"/>
              </w:rPr>
              <w:t>(State or other Jurisdiction of</w:t>
            </w:r>
          </w:p>
        </w:tc>
        <w:tc>
          <w:tcPr>
            <w:tcW w:w="2860" w:type="dxa"/>
            <w:vAlign w:val="bottom"/>
          </w:tcPr>
          <w:p>
            <w:pPr>
              <w:spacing w:after="0"/>
              <w:rPr>
                <w:sz w:val="18"/>
                <w:szCs w:val="18"/>
                <w:color w:val="auto"/>
              </w:rPr>
            </w:pPr>
          </w:p>
        </w:tc>
        <w:tc>
          <w:tcPr>
            <w:tcW w:w="2780" w:type="dxa"/>
            <w:vAlign w:val="bottom"/>
          </w:tcPr>
          <w:p>
            <w:pPr>
              <w:jc w:val="center"/>
              <w:ind w:left="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94"/>
              </w:rPr>
              <w:t>incorporation or organization)</w:t>
            </w:r>
          </w:p>
        </w:tc>
        <w:tc>
          <w:tcPr>
            <w:tcW w:w="28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14"/>
        </w:trPr>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616 N. North Court, Suite 120</w:t>
            </w:r>
          </w:p>
        </w:tc>
        <w:tc>
          <w:tcPr>
            <w:tcW w:w="28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0"/>
        </w:trPr>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Palatine, Illinois</w:t>
            </w:r>
          </w:p>
        </w:tc>
        <w:tc>
          <w:tcPr>
            <w:tcW w:w="564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60067</w:t>
            </w:r>
          </w:p>
        </w:tc>
      </w:tr>
      <w:tr>
        <w:trPr>
          <w:trHeight w:val="230"/>
        </w:trPr>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860" w:type="dxa"/>
            <w:vAlign w:val="bottom"/>
          </w:tcPr>
          <w:p>
            <w:pPr>
              <w:spacing w:after="0"/>
              <w:rPr>
                <w:sz w:val="20"/>
                <w:szCs w:val="20"/>
                <w:color w:val="auto"/>
              </w:rPr>
            </w:pPr>
          </w:p>
        </w:tc>
        <w:tc>
          <w:tcPr>
            <w:tcW w:w="278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847 705 7709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jc w:val="both"/>
        <w:ind w:firstLine="194"/>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and (2) has been subject to such filing requirements for the past 90 days. Yes þ No o</w:t>
      </w:r>
    </w:p>
    <w:p>
      <w:pPr>
        <w:spacing w:after="0" w:line="170" w:lineRule="exact"/>
        <w:rPr>
          <w:sz w:val="24"/>
          <w:szCs w:val="24"/>
          <w:color w:val="auto"/>
        </w:rPr>
      </w:pPr>
    </w:p>
    <w:p>
      <w:pPr>
        <w:jc w:val="both"/>
        <w:ind w:right="20" w:firstLine="19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 Yes þ No o</w:t>
      </w:r>
    </w:p>
    <w:p>
      <w:pPr>
        <w:spacing w:after="0" w:line="181" w:lineRule="exact"/>
        <w:rPr>
          <w:sz w:val="24"/>
          <w:szCs w:val="24"/>
          <w:color w:val="auto"/>
        </w:rPr>
      </w:pPr>
    </w:p>
    <w:p>
      <w:pPr>
        <w:jc w:val="both"/>
        <w:ind w:firstLine="19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pacing w:after="0" w:line="147" w:lineRule="exact"/>
        <w:rPr>
          <w:sz w:val="24"/>
          <w:szCs w:val="24"/>
          <w:color w:val="auto"/>
        </w:rPr>
      </w:pPr>
    </w:p>
    <w:p>
      <w:pPr>
        <w:spacing w:after="0"/>
        <w:tabs>
          <w:tab w:leader="none" w:pos="21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o</w:t>
      </w:r>
    </w:p>
    <w:p>
      <w:pPr>
        <w:spacing w:after="0" w:line="23" w:lineRule="exact"/>
        <w:rPr>
          <w:sz w:val="24"/>
          <w:szCs w:val="24"/>
          <w:color w:val="auto"/>
        </w:rPr>
      </w:pPr>
    </w:p>
    <w:p>
      <w:pPr>
        <w:spacing w:after="0"/>
        <w:tabs>
          <w:tab w:leader="none" w:pos="188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þ</w:t>
      </w:r>
    </w:p>
    <w:p>
      <w:pPr>
        <w:spacing w:after="0" w:line="21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þ</w:t>
      </w:r>
    </w:p>
    <w:p>
      <w:pPr>
        <w:spacing w:after="0" w:line="225" w:lineRule="exact"/>
        <w:rPr>
          <w:sz w:val="24"/>
          <w:szCs w:val="24"/>
          <w:color w:val="auto"/>
        </w:rPr>
      </w:pPr>
    </w:p>
    <w:p>
      <w:pPr>
        <w:ind w:left="200"/>
        <w:spacing w:after="0"/>
        <w:rPr>
          <w:sz w:val="20"/>
          <w:szCs w:val="20"/>
          <w:color w:val="auto"/>
        </w:rPr>
      </w:pPr>
      <w:r>
        <w:rPr>
          <w:rFonts w:ascii="Arial" w:cs="Arial" w:eastAsia="Arial" w:hAnsi="Arial"/>
          <w:sz w:val="18"/>
          <w:szCs w:val="18"/>
          <w:color w:val="auto"/>
        </w:rPr>
        <w:t>As of April 30, 2015 the registrant had 49,216,817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MARCH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ind w:left="2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Part 1. FINANCIAL INFORMATION</w:t>
            </w: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08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92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2015 and December 31, 2014 (unaudited)</w:t>
              </w:r>
            </w:hyperlink>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Income (Loss) for the Three months Ended March 31, 2015</w:t>
              </w:r>
            </w:hyperlink>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920" w:type="dxa"/>
            <w:vAlign w:val="bottom"/>
            <w:gridSpan w:val="13"/>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March 31, 2014 (unaudited)</w:t>
              </w:r>
            </w:hyperlink>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920" w:type="dxa"/>
            <w:vAlign w:val="bottom"/>
            <w:gridSpan w:val="1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Stockholders’ Equity for the Three months Ended March 31, 2015 (unaudited)</w:t>
              </w:r>
            </w:hyperlink>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920" w:type="dxa"/>
            <w:vAlign w:val="bottom"/>
            <w:gridSpan w:val="13"/>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Cash Flows for the Three months Ended March 31, 2015 and March 31, 2014 (unaudited)</w:t>
              </w:r>
            </w:hyperlink>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920" w:type="dxa"/>
            <w:vAlign w:val="bottom"/>
            <w:gridSpan w:val="13"/>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60" w:type="dxa"/>
            <w:vAlign w:val="bottom"/>
            <w:shd w:val="clear" w:color="auto" w:fill="CCEEFF"/>
          </w:tcPr>
          <w:p>
            <w:pPr>
              <w:spacing w:after="0"/>
              <w:rPr>
                <w:sz w:val="17"/>
                <w:szCs w:val="17"/>
                <w:color w:val="auto"/>
              </w:rPr>
            </w:pPr>
          </w:p>
        </w:tc>
        <w:tc>
          <w:tcPr>
            <w:tcW w:w="8920" w:type="dxa"/>
            <w:vAlign w:val="bottom"/>
            <w:gridSpan w:val="1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60" w:type="dxa"/>
            <w:vAlign w:val="bottom"/>
            <w:shd w:val="clear" w:color="auto" w:fill="CCEEFF"/>
          </w:tcPr>
          <w:p>
            <w:pPr>
              <w:spacing w:after="0"/>
              <w:rPr>
                <w:sz w:val="17"/>
                <w:szCs w:val="17"/>
                <w:color w:val="auto"/>
              </w:rPr>
            </w:pPr>
          </w:p>
        </w:tc>
        <w:tc>
          <w:tcPr>
            <w:tcW w:w="8920" w:type="dxa"/>
            <w:vAlign w:val="bottom"/>
            <w:gridSpan w:val="13"/>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20" w:type="dxa"/>
            <w:vAlign w:val="bottom"/>
            <w:gridSpan w:val="16"/>
            <w:shd w:val="clear" w:color="auto" w:fill="CCEEFF"/>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60" w:type="dxa"/>
            <w:vAlign w:val="bottom"/>
            <w:shd w:val="clear" w:color="auto" w:fill="CCEEFF"/>
          </w:tcPr>
          <w:p>
            <w:pPr>
              <w:spacing w:after="0"/>
              <w:rPr>
                <w:sz w:val="17"/>
                <w:szCs w:val="17"/>
                <w:color w:val="auto"/>
              </w:rPr>
            </w:pPr>
          </w:p>
        </w:tc>
        <w:tc>
          <w:tcPr>
            <w:tcW w:w="8920" w:type="dxa"/>
            <w:vAlign w:val="bottom"/>
            <w:gridSpan w:val="13"/>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60" w:type="dxa"/>
            <w:vAlign w:val="bottom"/>
            <w:shd w:val="clear" w:color="auto" w:fill="CCEEFF"/>
          </w:tcPr>
          <w:p>
            <w:pPr>
              <w:spacing w:after="0"/>
              <w:rPr>
                <w:sz w:val="17"/>
                <w:szCs w:val="17"/>
                <w:color w:val="auto"/>
              </w:rPr>
            </w:pPr>
          </w:p>
        </w:tc>
        <w:tc>
          <w:tcPr>
            <w:tcW w:w="8920" w:type="dxa"/>
            <w:vAlign w:val="bottom"/>
            <w:gridSpan w:val="13"/>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460" w:type="dxa"/>
            <w:vAlign w:val="bottom"/>
            <w:tcBorders>
              <w:top w:val="single" w:sz="8" w:color="CCEEFF"/>
              <w:bottom w:val="single" w:sz="8" w:color="auto"/>
            </w:tcBorders>
            <w:gridSpan w:val="9"/>
          </w:tcPr>
          <w:p>
            <w:pPr>
              <w:jc w:val="right"/>
              <w:ind w:right="186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40" w:type="dxa"/>
            <w:vAlign w:val="bottom"/>
          </w:tcPr>
          <w:p>
            <w:pPr>
              <w:jc w:val="center"/>
              <w:ind w:left="3250"/>
              <w:spacing w:after="0"/>
              <w:rPr>
                <w:sz w:val="20"/>
                <w:szCs w:val="20"/>
                <w:color w:val="auto"/>
              </w:rPr>
            </w:pPr>
            <w:r>
              <w:rPr>
                <w:rFonts w:ascii="Arial" w:cs="Arial" w:eastAsia="Arial" w:hAnsi="Arial"/>
                <w:sz w:val="18"/>
                <w:szCs w:val="18"/>
                <w:b w:val="1"/>
                <w:bCs w:val="1"/>
                <w:color w:val="auto"/>
              </w:rPr>
              <w:t>ACURA PHARMACEUTICALS, INC.</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left="3270"/>
              <w:spacing w:after="0"/>
              <w:rPr>
                <w:sz w:val="20"/>
                <w:szCs w:val="20"/>
                <w:color w:val="auto"/>
              </w:rPr>
            </w:pPr>
            <w:r>
              <w:rPr>
                <w:rFonts w:ascii="Arial" w:cs="Arial" w:eastAsia="Arial" w:hAnsi="Arial"/>
                <w:sz w:val="18"/>
                <w:szCs w:val="18"/>
                <w:b w:val="1"/>
                <w:bCs w:val="1"/>
                <w:color w:val="auto"/>
                <w:w w:val="99"/>
              </w:rPr>
              <w:t>CONSOLIDATED BALANCE SHEETS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jc w:val="center"/>
              <w:ind w:left="327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Marketable securities (Note 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10,387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$7 and $5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Accrued investment income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 (Note 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deferred assets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debt issuance costs, net of accumulated amortization of $86 and $69 (Note 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Intangible asset, net of accumulated amortization of $207 and $155 (Note 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17,867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140"/>
              <w:spacing w:after="0"/>
              <w:rPr>
                <w:sz w:val="20"/>
                <w:szCs w:val="20"/>
                <w:color w:val="auto"/>
              </w:rPr>
            </w:pPr>
            <w:r>
              <w:rPr>
                <w:rFonts w:ascii="Arial" w:cs="Arial" w:eastAsia="Arial" w:hAnsi="Arial"/>
                <w:sz w:val="18"/>
                <w:szCs w:val="18"/>
                <w:color w:val="auto"/>
              </w:rPr>
              <w:t>LIABILITIES AND STOCKHOLDERS’ EQUITY</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(Note 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Sales returns liability</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Current maturities of long-term debt (Note 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2,369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3,762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 of discount of $283 and $281 (Note 9)</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Long-term portion of accrued interest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11,351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11,143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$.01 par value per share; 100,000 shares authorized, 48,947 and 48,848 shares issued and</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2015 and 2014, respectively</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367,091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366,898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(361,082)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6,516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17,867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16,195</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040" w:type="dxa"/>
            <w:vAlign w:val="bottom"/>
          </w:tcPr>
          <w:p>
            <w:pPr>
              <w:jc w:val="center"/>
              <w:ind w:left="327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40" w:type="dxa"/>
            <w:vAlign w:val="bottom"/>
            <w:tcBorders>
              <w:bottom w:val="single" w:sz="8" w:color="auto"/>
            </w:tcBorders>
          </w:tcPr>
          <w:p>
            <w:pPr>
              <w:jc w:val="center"/>
              <w:ind w:left="3250"/>
              <w:spacing w:after="0"/>
              <w:rPr>
                <w:sz w:val="20"/>
                <w:szCs w:val="20"/>
                <w:color w:val="auto"/>
              </w:rPr>
            </w:pPr>
            <w:r>
              <w:rPr>
                <w:rFonts w:ascii="Arial" w:cs="Arial" w:eastAsia="Arial" w:hAnsi="Arial"/>
                <w:sz w:val="18"/>
                <w:szCs w:val="18"/>
                <w:color w:val="auto"/>
                <w:w w:val="99"/>
              </w:rPr>
              <w:t>2</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Three months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2015</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w w:val="90"/>
              </w:rPr>
              <w:t>Ended March 31,</w:t>
            </w:r>
          </w:p>
        </w:tc>
        <w:tc>
          <w:tcPr>
            <w:tcW w:w="960" w:type="dxa"/>
            <w:vAlign w:val="bottom"/>
            <w:vMerge w:val="restart"/>
          </w:tcPr>
          <w:p>
            <w:pPr>
              <w:jc w:val="right"/>
              <w:ind w:right="470"/>
              <w:spacing w:after="0"/>
              <w:rPr>
                <w:sz w:val="20"/>
                <w:szCs w:val="20"/>
                <w:color w:val="auto"/>
              </w:rPr>
            </w:pPr>
            <w:r>
              <w:rPr>
                <w:rFonts w:ascii="Arial" w:cs="Arial" w:eastAsia="Arial" w:hAnsi="Arial"/>
                <w:sz w:val="18"/>
                <w:szCs w:val="18"/>
                <w:color w:val="auto"/>
                <w:w w:val="94"/>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2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32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 net</w:t>
            </w:r>
          </w:p>
        </w:tc>
        <w:tc>
          <w:tcPr>
            <w:tcW w:w="2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Cost of sales (excluding inventory write-down)</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write-down (Note 7)</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964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22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1,512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Loss on sales of marketable securities</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(Note 9)</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expense, net</w:t>
            </w:r>
          </w:p>
        </w:tc>
        <w:tc>
          <w:tcPr>
            <w:tcW w:w="22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1,239</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on securities</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comprehensive income</w:t>
            </w:r>
          </w:p>
        </w:tc>
        <w:tc>
          <w:tcPr>
            <w:tcW w:w="22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2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1,270</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Income (loss) per share:</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Diluted</w:t>
            </w:r>
          </w:p>
        </w:tc>
        <w:tc>
          <w:tcPr>
            <w:tcW w:w="32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Basic</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48,965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49,347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60" w:type="dxa"/>
            <w:vAlign w:val="bottom"/>
            <w:gridSpan w:val="9"/>
          </w:tcPr>
          <w:p>
            <w:pPr>
              <w:spacing w:after="0"/>
              <w:rPr>
                <w:sz w:val="20"/>
                <w:szCs w:val="20"/>
                <w:color w:val="auto"/>
              </w:rPr>
            </w:pPr>
            <w:r>
              <w:rPr>
                <w:rFonts w:ascii="Arial" w:cs="Arial" w:eastAsia="Arial" w:hAnsi="Arial"/>
                <w:sz w:val="18"/>
                <w:szCs w:val="18"/>
                <w:color w:val="auto"/>
                <w:w w:val="91"/>
              </w:rPr>
              <w:t>Three months Ended March 31, 2015</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w w:val="96"/>
              </w:rPr>
              <w:t>Accumulated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color w:val="auto"/>
                <w:w w:val="96"/>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40" w:type="dxa"/>
            <w:vAlign w:val="bottom"/>
            <w:gridSpan w:val="6"/>
          </w:tcPr>
          <w:p>
            <w:pPr>
              <w:ind w:left="44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Paid-in</w:t>
            </w:r>
          </w:p>
        </w:tc>
        <w:tc>
          <w:tcPr>
            <w:tcW w:w="12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34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 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Deficit</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Income (Loss)</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(362,321</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distribution of common stock pursuant to restricted stock</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unit award plan</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Modification to warrants issued with promissory notes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367,091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(361,082)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5"/>
          </w:tcPr>
          <w:p>
            <w:pPr>
              <w:jc w:val="right"/>
              <w:ind w:right="265"/>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2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1,239</w:t>
            </w:r>
          </w:p>
        </w:tc>
        <w:tc>
          <w:tcPr>
            <w:tcW w:w="1020" w:type="dxa"/>
            <w:vAlign w:val="bottom"/>
            <w:gridSpan w:val="2"/>
          </w:tcPr>
          <w:p>
            <w:pPr>
              <w:jc w:val="right"/>
              <w:ind w:right="785"/>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Provision to reduce inventory to net realizable value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Provision for sales returns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Amortization of debt discount and deferred debt issue costs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bond premium in marketable securities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Amortization of intangible asset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sales of marketable securities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Accrued investment income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deferred assets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Accrued interest – current and long term</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(2,980)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and maturities of marketable securities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4"/>
              </w:rPr>
              <w:t>Statutory minimum withholding taxes paid on the distribution of common stock pursuant to restricted</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unit plan and exercise of stock options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Cash paid during the year for: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w:t>
            </w:r>
          </w:p>
        </w:tc>
        <w:tc>
          <w:tcPr>
            <w:tcW w:w="12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1020" w:type="dxa"/>
            <w:vAlign w:val="bottom"/>
            <w:gridSpan w:val="2"/>
            <w:shd w:val="clear" w:color="auto" w:fill="CCEEFF"/>
          </w:tcPr>
          <w:p>
            <w:pPr>
              <w:jc w:val="right"/>
              <w:ind w:right="78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12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85"/>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 AND SUBSIDIAR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disclosures of noncash investing and financing activities (amounts presented are rounded to the nearest thousand expect per share amounts):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March 31, 2015</w:t>
      </w:r>
    </w:p>
    <w:p>
      <w:pPr>
        <w:spacing w:after="0" w:line="225" w:lineRule="exact"/>
        <w:rPr>
          <w:sz w:val="20"/>
          <w:szCs w:val="20"/>
          <w:color w:val="auto"/>
        </w:rPr>
      </w:pPr>
    </w:p>
    <w:p>
      <w:pPr>
        <w:ind w:left="340" w:right="20" w:hanging="332"/>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exercise price of 298 thousand common stock purchase warrants held by the lender of our debt was changed from $1.595 to $0.504 per share. The change in fair value of $33 was recorded as additional debt discount and will be amortized as interest expense over the remaining term of this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March 31, 2014</w:t>
      </w:r>
    </w:p>
    <w:p>
      <w:pPr>
        <w:spacing w:after="0" w:line="225" w:lineRule="exact"/>
        <w:rPr>
          <w:sz w:val="20"/>
          <w:szCs w:val="20"/>
          <w:color w:val="auto"/>
        </w:rPr>
      </w:pPr>
    </w:p>
    <w:p>
      <w:pPr>
        <w:jc w:val="both"/>
        <w:ind w:left="34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2005 RSU Plan utilizing various cashless exercise features of the plan. After withholding 4 thousand shares for $7 in exercise costs and withholding 315 thousand shares for $525 in statutory minimum payroll taxes, we issued 510 thousand shares of common stock.</w:t>
      </w:r>
    </w:p>
    <w:p>
      <w:pPr>
        <w:jc w:val="both"/>
        <w:ind w:left="34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Options to purchase 24 thousand shares of common stock were exercised utilizing various cashless exercise features of the stock option plan. After withholding 16 thousand shares for $32 in exercise costs and withholding 2 thousand shares for $4 in statutory minimum payroll taxes, we issued 6 thousand shares of common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AND MARCH 31,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Technology is a mixture of inactive ingredients incorporated into pharmaceutical tablets and capsules intended to address some common methods of product tampering associated with opioid abuse. Oxaydo™ Tablets (formerly known as Oxecta®) (oxycodone HCl, CII), is the first approved product utilizing Aversion® in the United States.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We are advised that Egalet plans to launch Oxaydo in the United States in the third quarter of 2015. We have also developed Impede® Technology which is a combination of inactive ingredients that prevent the extraction of pseudoephedrine from tablets and disrupt the direct conversion of pseudoephedrine from tablets into methamphetamine. We launched our first Impede Technology product, Nexafed®, into the United States market in December 2012 and our Nexafed Sinus Pressure + Pain product in the United States in February 2015. We have multiple pseudoephedrine products in development utilizing our Impede Technology. In August 2014, we were awarded a grant from the National Institute on Drug Abuse to advance early stage development of our third abuse deterrent technology, Limitx™. Limitx is designed to retard the release of active drug ingredients when too many tablets are accidently or purposefully ingested.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FASB issued Accounting Standards Update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supersedes nearly all existing revenue recognition guidance under U.S.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U.S. GAAP.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standard is effective for annual periods beginning after December 15, 2017, and interim periods therein, using either of the following transition methods:</w:t>
      </w:r>
    </w:p>
    <w:p>
      <w:pPr>
        <w:spacing w:after="0" w:line="46"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full retrospective approach reflecting the application of the standard in each prior reporting period with the option to elect certain practical expedients, or</w:t>
      </w:r>
    </w:p>
    <w:p>
      <w:pPr>
        <w:spacing w:after="0" w:line="32" w:lineRule="exact"/>
        <w:rPr>
          <w:rFonts w:ascii="Arial" w:cs="Arial" w:eastAsia="Arial" w:hAnsi="Arial"/>
          <w:sz w:val="16"/>
          <w:szCs w:val="16"/>
          <w:color w:val="auto"/>
        </w:rPr>
      </w:pPr>
    </w:p>
    <w:p>
      <w:pPr>
        <w:jc w:val="both"/>
        <w:ind w:firstLine="8"/>
        <w:spacing w:after="0" w:line="255" w:lineRule="auto"/>
        <w:tabs>
          <w:tab w:leader="none" w:pos="28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retrospective approach with the cumulative effect of initially adopting ASU 2014-09 recognized at the date of adoption (which includes additional footnote disclosures). We are currently evaluating the impact of our pending adoption of ASU 2014-09 on our consolidated financial statements and have not yet determined the method by which we will adopt the standard in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Uncertainties about an Entity’s Ability to Continue as a Going Concern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2014, the FASB issued Accounting Standards Update No. 2014-15, “</w:t>
      </w:r>
      <w:r>
        <w:rPr>
          <w:rFonts w:ascii="Arial" w:cs="Arial" w:eastAsia="Arial" w:hAnsi="Arial"/>
          <w:sz w:val="16"/>
          <w:szCs w:val="16"/>
          <w:i w:val="1"/>
          <w:iCs w:val="1"/>
          <w:color w:val="auto"/>
        </w:rPr>
        <w:t>Disclosure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w:t>
      </w:r>
      <w:r>
        <w:rPr>
          <w:rFonts w:ascii="Arial" w:cs="Arial" w:eastAsia="Arial" w:hAnsi="Arial"/>
          <w:sz w:val="16"/>
          <w:szCs w:val="16"/>
          <w:color w:val="auto"/>
        </w:rPr>
        <w:t>”, which will explicitly require management to assess an entity’s ability to continue as a going concern and to provide related footnote disclosures in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circumstances. Currently, there is no guidance in GAAP about management’s responsibility to evaluate whether there is substantial doubt about an entity’s ability to continue as a going concern or to provide related footnote disclosures. The amendments in this Update provide that guidance. In doing so, the amendments should reduce diversity in the timing and content of footnote disclosures. The amendments require management to assess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The amendments in this update are effective for the first annual period ending after December 15, 2016, and for annual periods and interim periods thereafter. Early application is permitted. The Company is currently evaluating the impact of adopting this update on its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Presentation of Debt Issue Costs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"Interest</w:t>
      </w:r>
      <w:r>
        <w:rPr>
          <w:rFonts w:ascii="Arial" w:cs="Arial" w:eastAsia="Arial" w:hAnsi="Arial"/>
          <w:sz w:val="17"/>
          <w:szCs w:val="17"/>
          <w:color w:val="auto"/>
        </w:rPr>
        <w:t xml:space="preserve"> - </w:t>
      </w:r>
      <w:r>
        <w:rPr>
          <w:rFonts w:ascii="Arial" w:cs="Arial" w:eastAsia="Arial" w:hAnsi="Arial"/>
          <w:sz w:val="17"/>
          <w:szCs w:val="17"/>
          <w:i w:val="1"/>
          <w:iCs w:val="1"/>
          <w:color w:val="auto"/>
        </w:rPr>
        <w:t>Imputation of Interest (Subtopic 835-30): Simplifying the Presentation of Debt Issuance Costs."</w:t>
      </w:r>
      <w:r>
        <w:rPr>
          <w:rFonts w:ascii="Arial" w:cs="Arial" w:eastAsia="Arial" w:hAnsi="Arial"/>
          <w:sz w:val="17"/>
          <w:szCs w:val="17"/>
          <w:color w:val="auto"/>
        </w:rPr>
        <w:t xml:space="preserve"> The amendments in this ASU require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ASU. The amendments are effective for financial statements issued for fiscal years beginning after December 15, 2015. Early adoption of the amendments is permitted for financial statements that have not been previously issued. The Company is currently evaluating the impact of the adoption of ASU 2015-03 on the Company's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DEVELOPMENT, AND COMMERCIALIZATION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Pfizer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October 2007, we entered into a License, Development and Commercialization Agreement, or the Pfizer Agreement, with King Pharmaceuticals Research and Development, Inc., now a subsidiary of Pfizer, to develop and commercialize in the United States, Canada and Mexico certain opioid analgesic products utilizing our Aversion Technology. Aversion Oxycodone was approved by the U.S. Food and Drug Administration, or FDA, on June 17, 2011 and sales of Aversion Oxycodone, under Pfizer’s brand name Oxecta, commenced in February 2012. For sales of Aversion Oxycodone occurring on and following February 2, 2013 (the one year anniversary of first commercial sale), Pfizer paid us a royalty of 5% of net sales of Aversion Oxycodone.</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24, 2012, we entered into a letter agreement with Pfizer which provided for the termination of Pfizer’s license to our Aversion Technology used in three development-stage products licensed to Pfizer and for the return of these products to us. On April 9, 2014, we entered into a second letter agreement with Pfizer providing for the termination of the Pfizer Agreement and the return of Aversion Oxycodone to us effective April 9, 2014 in exchange for a one-time termination payment of $2.0 million. Pfizer’s royalty payment obligations relating to Aversion Oxycodone ceased effective April 9, 2014 and all royalty payments due to us have been received. Our termination payment of $2.0 million has been recorded on our financial statements as an intangible asset and is being amortized over the remaining useful life of the patent for Aversion Oxycodone. The recorded value of the intangible asset will be periodically assessed for impairment. We also purchased from Pfizer selected raw and packaging material inventories for $260 thousand relating to the Aversion Oxycodone product. During the quarter ended March 31, 2015, we recorded a 100% reserve against these inventories which is reflected in operating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7, 2015, we and Egalet entered into a Collaboration and License Agreement (the “Egalet Agreement”) to commercialize Aversion Oxycodone under the tradename Oxaydo™. Oxaydo is approved by the FDA for marketing in the United States in 5 mg and 7.5 mg strengths. Under the terms of the Egalet Agreement, we are transferring the approved NDA for Oxaydo to Egalet and Egalet is granted an exclusive license under our intellectual property rights for development and commercialization of Oxaydo worldwide (the “Territory”) in all strengths, subject to our right to co-promote Oxaydo in the United States.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Egalet paid us an upfront payment of $5 million upon signing of the Egalet Agreement and will pay us a $2.5 million milestone on the earlier to occur of (A) the launch of Oxaydo and (B) January 1, 2016, but in no event earlier than June 30, 2015. In addition, we will be entitled to a one-time $12.5 million milestone payment when worldwide Oxaydo net sales reach $150 million in a calendar year.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for payments required to be made by Egalet to acquire intellectual property rights to commercialize Oxaydo, with an aggregate minimum floor.</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Egalet also may terminate the Agreement prior to the launch of Oxaydo on 30 days prior written notice upon the occurrence of serious safety issues, regulatory restrictions and intellectual property issues, in each case involving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Paragraph IV ANDA Litigation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or about September 17, 2012, we believe the FDA internally changed the status of Oxaydo (formerly known as Oxecta®) to be considered a Reference Listed Drug, or RLD. An RLD is the standard to which all generic versions must be shown to be bioequivalent and a drug company seeking approval to market a generic equivalent must refer to the RLD. By designating Oxaydo as an RLD, the FDA was allowed to accept ANDAs referencing Oxaydo.</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September 20, 2012, we announced that we had received a Paragraph IV Certification Notice under 21 U.S.C. 355(j) (a Paragraph IV Notice) from a generic sponsor of an ANDA for a generic drug listing Oxaydo as the reference listed drug. Since such date, we have received similar Paragraph IV Notices from four other generic pharmaceutical companies that have filed ANDAs listing Oxaydo as the reference drug. The Paragraph IV Notices refer to our U.S. Patent Numbers 7,201,920, 7,510,726 and 7,981,439, which cover our Aversion® Technology and Oxaydo. The Paragraph IV Notices state that each generic sponsor believes that such patents are invalid, unenforceable or not infringed. On October 31, 2012, we initiated suit against each of Watson Laboratories, Inc.</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Florida (Watson), Par Pharmaceutical, Inc., Impax Laboratories, Inc. and Sandoz Inc., and on April 29, 2013 we initiated suit against Ranbaxy, Inc., each in the United States District Court for the District of Delaware alleging infringement of our U.S. Patent No. 7,510,726 listed in the FDA’s Orange Book. In January 2013, we dismissed our suit against Watson on the grounds that Watson had amended its ANDA from a Paragraph IV Certification to a Paragraph Certification III, which indicated its intent not to market its generic Oxaydo product in advance of our patent expiry.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Par is the first filer of an ANDA for a generic Oxaydo product and is entitled to the 180-day first filer exclusivity under applicable law and FDA regulations.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Settlement Agreement with Par, Par may launch its generic Oxaydo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Oxaydo product.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Settlement Agreement with Impax, Impax may launch its generic Oxaydo product in the U.S., through the grant of a non-exclusive, royalty-free license from us that would trigger 180 days following the first sale of a generic Oxaydo® product in the U.S. by an entity that is entitled to the 180 day first-filer exclusivity under applicable law and FDA regulations (or if no entity is entitled to such 180 day exclusivity period, the date on which a generic Oxaydo®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8, 2014, we announced that we had entered into a Settlement Agreement with Ranbaxy Inc. to settle our patent infringement action pending in the United States District Court for the District of Delaware. The Settlement Agreement provides that Ranbaxy’s current generic of our Oxaydo product that is the subject of its ANDA filing does not infringe our Orange Book listed patents with the FDA. We have not provided Ranbaxy a license to our patents and we may re-commence patent infringement litigation against Ranbaxy if Ranbaxy changes the formulation of its current generic Oxaydo product.</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21, 2014, we announced that we had entered into a Settlement Agreement with Sandoz Inc. to settle our patent infringement action pending against Sandoz in the United States District Court for the District of Delaware. Under the Settlement Agreement, Sandoz may launch its generic to the Oxaydo product in the U.S., through the grant of a non-exclusive license from us that would trigger 180 days following the first sale of a generic to the Oxaydo product in the U.S. by an entity that is entitled to the 180 day first-filer exclusivity under applicable law and FDA regulations (or if no entity is entitled to such 180 day exclusivity period, the date on which a generic to the Oxaydo product is first sold in the U.S). In certain circumstances, our license to Sandoz would become effective prior to such time. Sandoz is not obligated to pay us a royalty if its current formulation of its generic to the Oxaydo product is approved by the FDA. In the event Sandoz changes or modifies the structure of its generic Oxaydo product, or materially changes or modifies the amounts or type of any excipient used in the Sandoz formulation disclosed in its ANDA filing with the FDA as of July 30, 2013, Sandoz is required to pay us a royalty based upon the Net Profits (as defined in the Settlement Agreement) derived from the net sales of such changed or modified Sandoz generic Oxaydo product in the United States.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RECOGNITION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is generally realized or realizable and earned when there is persuasive evidence an arrangement exists, delivery has occurred or services rendered, the price is fixed and determinable, and collection is reasonably assured. We record revenue from our Nexafed product sales when the price is fixed and determinable at the date of sale, title and risk of ownership have been transferred to the customer, and returns can be reasonably estimated.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jc w:val="both"/>
        <w:spacing w:after="0" w:line="290" w:lineRule="auto"/>
        <w:rPr>
          <w:sz w:val="20"/>
          <w:szCs w:val="20"/>
          <w:color w:val="auto"/>
        </w:rPr>
      </w:pPr>
      <w:r>
        <w:rPr>
          <w:rFonts w:ascii="Arial" w:cs="Arial" w:eastAsia="Arial" w:hAnsi="Arial"/>
          <w:sz w:val="16"/>
          <w:szCs w:val="16"/>
          <w:color w:val="auto"/>
        </w:rPr>
        <w:t>Nexafed was launched in mid-December 2012. We sell Nexafed in the United States to wholesale pharmaceutical distributors as well as directly to chain drug stores. Nexafed is sold subject to the right of return for a period of up to twelve months after the product expiration. Nexafed currently has a shelf life of twenty-four months from the date of manufacture. Given the limited sales history of Nexafed, we could not reliably estimate expected returns of the product at the time of shipment to certain customers and accordingly we had deferred revenue. During the first quarter ended March 31, 2015 we determined we had obtained sufficient sales returns history to reasonably estimate future returns. As a result of this change, we recorded a one-time adjustment in the first quarter ended March 31, 2015 to recognize revenue that had previously been deferred, resulting in additional net revenues of $314 thousand after recording an allowance for sales returns of $120 thousand, and cost of sales of $255 thousand. At March 31, 2015 we have a $153 thousand sales returns liability which will be reviewed against sales returns activity each quarter. Revenue will be recognized at the time the product is sold to a customer.</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Commencing in February 2013, we began earning royalties based on net sales of Aversion Oxycodone by Pfizer. We earned royalties of approximately $3 thousand for the three months ended March 31, 2014. The Pfizer Agreement was terminated effective April 9, 2014 and Pfizer’s royalty payment obligations ceased as of such date. All royalties owed to us have been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shipping and handling costs in selling expenses. The amounts recorded to selling expenses from the shipments of Nexafed during each of the three month periods ended March 31, 2015 and 2014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RESEARCH AND DEVELOPMENT ACTIVITIES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We did not have any accrued CRO costs and clinical trial study expenses at either March 31, 2015 or December 31, 2014. We did not have any prepaid CRO costs and clinical trial study expenses at either March 31, 2015 or December 31,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NOTE 6 - INVESTMENTS IN MARKETABLE SECURITIES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40" w:type="dxa"/>
            <w:vAlign w:val="bottom"/>
            <w:gridSpan w:val="2"/>
          </w:tcPr>
          <w:p>
            <w:pPr>
              <w:spacing w:after="0"/>
              <w:rPr>
                <w:sz w:val="20"/>
                <w:szCs w:val="20"/>
                <w:color w:val="auto"/>
              </w:rPr>
            </w:pPr>
            <w:r>
              <w:rPr>
                <w:rFonts w:ascii="Arial" w:cs="Arial" w:eastAsia="Arial" w:hAnsi="Arial"/>
                <w:sz w:val="18"/>
                <w:szCs w:val="18"/>
                <w:color w:val="auto"/>
              </w:rPr>
              <w:t>Investments in marketable securities consisted of the following:</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540" w:type="dxa"/>
            <w:vAlign w:val="bottom"/>
            <w:gridSpan w:val="7"/>
          </w:tcPr>
          <w:p>
            <w:pPr>
              <w:ind w:left="700"/>
              <w:spacing w:after="0"/>
              <w:rPr>
                <w:sz w:val="20"/>
                <w:szCs w:val="20"/>
                <w:color w:val="auto"/>
              </w:rPr>
            </w:pPr>
            <w:r>
              <w:rPr>
                <w:rFonts w:ascii="Arial" w:cs="Arial" w:eastAsia="Arial" w:hAnsi="Arial"/>
                <w:sz w:val="18"/>
                <w:szCs w:val="18"/>
                <w:color w:val="auto"/>
                <w:w w:val="94"/>
              </w:rPr>
              <w:t>March 31, 2015   December 31, 2014</w:t>
            </w:r>
          </w:p>
        </w:tc>
      </w:tr>
      <w:tr>
        <w:trPr>
          <w:trHeight w:val="210"/>
        </w:trPr>
        <w:tc>
          <w:tcPr>
            <w:tcW w:w="1160" w:type="dxa"/>
            <w:vAlign w:val="bottom"/>
          </w:tcPr>
          <w:p>
            <w:pPr>
              <w:spacing w:after="0"/>
              <w:rPr>
                <w:sz w:val="18"/>
                <w:szCs w:val="18"/>
                <w:color w:val="auto"/>
              </w:rPr>
            </w:pPr>
          </w:p>
        </w:tc>
        <w:tc>
          <w:tcPr>
            <w:tcW w:w="55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(in millions)</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(in millions)</w:t>
            </w:r>
          </w:p>
        </w:tc>
        <w:tc>
          <w:tcPr>
            <w:tcW w:w="80" w:type="dxa"/>
            <w:vAlign w:val="bottom"/>
            <w:tcBorders>
              <w:bottom w:val="single" w:sz="8" w:color="CCEEFF"/>
            </w:tcBorders>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Corporate bonds - maturing within 1 year</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 - maturing after 1 year and through March 2017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Exchange-traded funds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marketable securities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marketable securities are classified as available-for-sale and are recorded at fair value based on quoted market prices or net asset value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Sheets as they may be sold within one year </w:t>
      </w:r>
      <w:r>
        <w:rPr>
          <w:rFonts w:ascii="Arial" w:cs="Arial" w:eastAsia="Arial" w:hAnsi="Arial"/>
          <w:sz w:val="18"/>
          <w:szCs w:val="18"/>
          <w:color w:val="111111"/>
        </w:rPr>
        <w:t>in response to changes in market prices or interest rates, to realign our investment concentrations or to meet our</w:t>
      </w:r>
      <w:r>
        <w:rPr>
          <w:rFonts w:ascii="Arial" w:cs="Arial" w:eastAsia="Arial" w:hAnsi="Arial"/>
          <w:sz w:val="18"/>
          <w:szCs w:val="18"/>
          <w:color w:val="auto"/>
        </w:rPr>
        <w:t xml:space="preserve"> </w:t>
      </w:r>
      <w:r>
        <w:rPr>
          <w:rFonts w:ascii="Arial" w:cs="Arial" w:eastAsia="Arial" w:hAnsi="Arial"/>
          <w:sz w:val="18"/>
          <w:szCs w:val="18"/>
          <w:color w:val="111111"/>
        </w:rPr>
        <w:t>working capital needs.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tables provide a summary of the fair value and unrealized gains (losses) related to the Company’s available-for-sale securities: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1"/>
              </w:rPr>
              <w:t>March 31, 2015</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8"/>
              </w:rPr>
              <w:t>(in millions)</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12"/>
              <w:spacing w:after="0" w:line="195" w:lineRule="exact"/>
              <w:rPr>
                <w:sz w:val="20"/>
                <w:szCs w:val="20"/>
                <w:color w:val="auto"/>
              </w:rPr>
            </w:pPr>
            <w:r>
              <w:rPr>
                <w:rFonts w:ascii="Arial" w:cs="Arial" w:eastAsia="Arial" w:hAnsi="Arial"/>
                <w:sz w:val="18"/>
                <w:szCs w:val="18"/>
                <w:color w:val="auto"/>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2"/>
              <w:spacing w:after="0" w:line="195" w:lineRule="exact"/>
              <w:rPr>
                <w:sz w:val="20"/>
                <w:szCs w:val="20"/>
                <w:color w:val="auto"/>
              </w:rPr>
            </w:pPr>
            <w:r>
              <w:rPr>
                <w:rFonts w:ascii="Arial" w:cs="Arial" w:eastAsia="Arial" w:hAnsi="Arial"/>
                <w:sz w:val="18"/>
                <w:szCs w:val="18"/>
                <w:color w:val="auto"/>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Unrealized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Fair</w:t>
            </w: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Cost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Gains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Value</w:t>
            </w: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1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2000" w:type="dxa"/>
            <w:vAlign w:val="bottom"/>
            <w:gridSpan w:val="2"/>
          </w:tcPr>
          <w:p>
            <w:pPr>
              <w:jc w:val="right"/>
              <w:ind w:right="51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1140" w:type="dxa"/>
            <w:vAlign w:val="bottom"/>
            <w:gridSpan w:val="2"/>
          </w:tcPr>
          <w:p>
            <w:pPr>
              <w:jc w:val="right"/>
              <w:ind w:right="772"/>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jc w:val="right"/>
              <w:ind w:right="652"/>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1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Total - Current</w:t>
            </w:r>
          </w:p>
        </w:tc>
        <w:tc>
          <w:tcPr>
            <w:tcW w:w="1320" w:type="dxa"/>
            <w:vAlign w:val="bottom"/>
          </w:tcPr>
          <w:p>
            <w:pPr>
              <w:spacing w:after="0"/>
              <w:rPr>
                <w:sz w:val="18"/>
                <w:szCs w:val="18"/>
                <w:color w:val="auto"/>
              </w:rPr>
            </w:pPr>
          </w:p>
        </w:tc>
        <w:tc>
          <w:tcPr>
            <w:tcW w:w="680" w:type="dxa"/>
            <w:vAlign w:val="bottom"/>
            <w:tcBorders>
              <w:bottom w:val="single" w:sz="8" w:color="auto"/>
            </w:tcBorders>
          </w:tcPr>
          <w:p>
            <w:pPr>
              <w:jc w:val="right"/>
              <w:ind w:right="51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10.4</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ind w:right="772"/>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52"/>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r>
      <w:tr>
        <w:trPr>
          <w:trHeight w:val="42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9"/>
              </w:rPr>
              <w:t>December 31, 2014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8"/>
              </w:rPr>
              <w:t>(in millions)</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32"/>
              <w:spacing w:after="0" w:line="195" w:lineRule="exact"/>
              <w:rPr>
                <w:sz w:val="20"/>
                <w:szCs w:val="20"/>
                <w:color w:val="auto"/>
              </w:rPr>
            </w:pPr>
            <w:r>
              <w:rPr>
                <w:rFonts w:ascii="Arial" w:cs="Arial" w:eastAsia="Arial" w:hAnsi="Arial"/>
                <w:sz w:val="18"/>
                <w:szCs w:val="18"/>
                <w:color w:val="auto"/>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Fair</w:t>
            </w: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Cost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Gains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Value</w:t>
            </w: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1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2000" w:type="dxa"/>
            <w:vAlign w:val="bottom"/>
            <w:gridSpan w:val="2"/>
          </w:tcPr>
          <w:p>
            <w:pPr>
              <w:jc w:val="right"/>
              <w:ind w:right="51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1140" w:type="dxa"/>
            <w:vAlign w:val="bottom"/>
            <w:gridSpan w:val="2"/>
          </w:tcPr>
          <w:p>
            <w:pPr>
              <w:jc w:val="right"/>
              <w:ind w:right="77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1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Total - Current</w:t>
            </w:r>
          </w:p>
        </w:tc>
        <w:tc>
          <w:tcPr>
            <w:tcW w:w="1320" w:type="dxa"/>
            <w:vAlign w:val="bottom"/>
          </w:tcPr>
          <w:p>
            <w:pPr>
              <w:spacing w:after="0"/>
              <w:rPr>
                <w:sz w:val="18"/>
                <w:szCs w:val="18"/>
                <w:color w:val="auto"/>
              </w:rPr>
            </w:pPr>
          </w:p>
        </w:tc>
        <w:tc>
          <w:tcPr>
            <w:tcW w:w="680" w:type="dxa"/>
            <w:vAlign w:val="bottom"/>
            <w:tcBorders>
              <w:bottom w:val="single" w:sz="8" w:color="auto"/>
            </w:tcBorders>
          </w:tcPr>
          <w:p>
            <w:pPr>
              <w:jc w:val="right"/>
              <w:ind w:right="51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11.3</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ind w:right="772"/>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Our assets measured at fair value or disclosed at fair value on a recurring basis as at March 31, 2015 and December 31, 2014 consisted of the following:</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right"/>
              <w:ind w:right="295"/>
              <w:spacing w:after="0"/>
              <w:rPr>
                <w:sz w:val="20"/>
                <w:szCs w:val="20"/>
                <w:color w:val="auto"/>
              </w:rPr>
            </w:pPr>
            <w:r>
              <w:rPr>
                <w:rFonts w:ascii="Arial" w:cs="Arial" w:eastAsia="Arial" w:hAnsi="Arial"/>
                <w:sz w:val="18"/>
                <w:szCs w:val="18"/>
                <w:color w:val="auto"/>
              </w:rPr>
              <w:t>March 31, 2015</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right"/>
              <w:ind w:right="415"/>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Level 3</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612"/>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61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42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115"/>
              <w:spacing w:after="0"/>
              <w:rPr>
                <w:sz w:val="20"/>
                <w:szCs w:val="20"/>
                <w:color w:val="auto"/>
              </w:rPr>
            </w:pPr>
            <w:r>
              <w:rPr>
                <w:rFonts w:ascii="Arial" w:cs="Arial" w:eastAsia="Arial" w:hAnsi="Arial"/>
                <w:sz w:val="18"/>
                <w:szCs w:val="18"/>
                <w:color w:val="auto"/>
              </w:rPr>
              <w:t>December 31, 2014</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right"/>
              <w:ind w:right="375"/>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Level 3</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8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w:t>
            </w:r>
          </w:p>
        </w:tc>
        <w:tc>
          <w:tcPr>
            <w:tcW w:w="940" w:type="dxa"/>
            <w:vAlign w:val="bottom"/>
            <w:gridSpan w:val="3"/>
            <w:shd w:val="clear" w:color="auto" w:fill="CCEEFF"/>
          </w:tcPr>
          <w:p>
            <w:pPr>
              <w:jc w:val="right"/>
              <w:ind w:right="6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Unrealized gains or losses on marketable securities are recorded in accumulated other comprehensive income (loss). Accumulated other comprehensive income (loss) at March 31, 2015 consisted of unrealized gains on securities of $18 thousand. Accumulated other comprehensive income (loss) at December 31, 2014 consisted of unrealized losses on securities of $13 thousand.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 INVENTORIES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Inventories consist of both raw and packaging materials on our Oxaydo product and finished goods held for distribution and sale on our Nexafed product. During 2014, we purchased raw and packaging material inventories for $260 thousand from Pfizer on the Oxaydo product we reacquired from them. Inventories are stated at the lower of cost (first-in, first-out method) or market (net realizable value). We write down inventories to net realizable value based on forecasted demand and market conditions, which may differ from actual results. During the quarter ended March 31, 2015, we recorded a $260 thousand reserve against the raw and packaging material inventory on our Aversion Oxycodone product as our license partner will secure their own material requirements. During the quarter ended March 31, 2014, we increased our inventory reserves by $133 thousand against finished goods.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recorded Nexafed deferred revenue of $0.35 million at December 31, 2014. The related cost of sales of $0.22 million at December 31, 2014 is reported in our balance sheet in the other current deferred assets account and excluded from the reported year end inventories. We will recognize both the revenue and cost of sales on these Nexafed shipments once the right of return no longer exists or adequate history and information becomes available to estimate sales returns. During the first quarter ended March 31, 2015, we determined we had obtained sufficient sales returns history to reasonably estimate future returns. As a result of this change, we recorded a one-time adjustment in the first quarter ended March 31, 2015 to recognize revenue that had previously been deferred, resulting in additional net revenue of $314 thousand and cost of sales of $255 thousand. Revenue will be recognized at the time the product is sold to a customer.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purchases of ingredients and other materials required in our development and clinical trial activities are expensed as incurred.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Inventories are summarized as follows:</w:t>
            </w: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1020" w:type="dxa"/>
            <w:vAlign w:val="bottom"/>
          </w:tcPr>
          <w:p>
            <w:pPr>
              <w:spacing w:after="0"/>
              <w:rPr>
                <w:sz w:val="20"/>
                <w:szCs w:val="20"/>
                <w:color w:val="auto"/>
              </w:rPr>
            </w:pPr>
            <w:r>
              <w:rPr>
                <w:rFonts w:ascii="Arial" w:cs="Arial" w:eastAsia="Arial" w:hAnsi="Arial"/>
                <w:sz w:val="18"/>
                <w:szCs w:val="18"/>
                <w:color w:val="auto"/>
                <w:w w:val="88"/>
              </w:rPr>
              <w:t>December 31,</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2015</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Raw and packaging materials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260</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Finished goods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282</w:t>
            </w:r>
          </w:p>
        </w:tc>
        <w:tc>
          <w:tcPr>
            <w:tcW w:w="102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14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304</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Less: reserve for raw materials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102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2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304</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426"/>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NOTE 8 - ACCRUED EXPENSES</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8"/>
        </w:trPr>
        <w:tc>
          <w:tcPr>
            <w:tcW w:w="1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1020" w:type="dxa"/>
            <w:vAlign w:val="bottom"/>
          </w:tcPr>
          <w:p>
            <w:pPr>
              <w:spacing w:after="0"/>
              <w:rPr>
                <w:sz w:val="20"/>
                <w:szCs w:val="20"/>
                <w:color w:val="auto"/>
              </w:rPr>
            </w:pPr>
            <w:r>
              <w:rPr>
                <w:rFonts w:ascii="Arial" w:cs="Arial" w:eastAsia="Arial" w:hAnsi="Arial"/>
                <w:sz w:val="18"/>
                <w:szCs w:val="18"/>
                <w:color w:val="auto"/>
                <w:w w:val="88"/>
              </w:rPr>
              <w:t>December 31,</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2015</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02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253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Franchise taxes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Property taxes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02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10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Clinical, non-clinical and regulatory services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102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fees and services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0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14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568</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642"/>
        </w:trPr>
        <w:tc>
          <w:tcPr>
            <w:tcW w:w="14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9 – DEBT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27, 2013, we entered into a Loan and Security Agreement (the “Loan Agreement”) with Oxford Finance LLC (“Oxford” or the “Lender”), for a term loan to the Company in the principal amount of $10.0 million (the “Term Loan”). The full principal amount of the Term Loan was funded on December 27, 2013. We are using the proceeds of the Loan Agreement for general working capital and to fund our business requirements. The Term Loan accrues interest at a fixed rate of 8.35% per annum (with a default rate of 13.35% per annum). The Company is required to make monthly interest−only payments until the April 1, 2015 (“Amortization Date”) and starting on the Amortization Date, the Company is required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security for its obligations under the Loan Agreement, the Company granted Lender a security interest in substantially all of its existing and after−acquired assets, exclusive of its intellectual property assets. Pursuant to the Loan Agreement, the Company is not allowed to pledge its intellectual property assets to others. Upon the execution of the Loan Agreement, we issued to the Lender warrants to purchase an aggregate of up to 298 thousand shares of our common stock at an exercise price equal to $1.595 per share (the “Warrants”). We recorded $400 thousand as debt discount associated with the fair value of the Warrants and are amortizing it to interest expense over the term of the loan using the loan’s effective interest rate. The Warrants are immediately exercisable for cash or by net exercise and will expire December 27,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7, 2015, we and Oxford entered into an amendment to the Loan Agreement. Pursuant to the amendment, (i) the exercise price of the warrant previously issued to the Lender to purchase 298 thousand shares of our Common Stock was lowered from $1.595 to $0.504 per share (the average closing price of our common stock on Nasdaq for the 10 trading days preceding the date of the amendment) and we recorded additional debt discount of $33 representing the fair value of the warrant modification, (ii) we agreed to maintain a $2.5 million cash reserve until such time as we have repaid $5.0 million in principal of the Term Loan, and (iii) the Lender consented to the terms of our Collaboration and License Agreement with Egalet relating to our Oxaydo product.</w:t>
      </w:r>
    </w:p>
    <w:p>
      <w:pPr>
        <w:spacing w:after="0" w:line="19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may voluntarily prepay the Term Loan in full, but not in part, and any prepayment is subject to a prepayment premium equal to 2% of the principal prepaid, if prepaid prior to December 27, 2015, and 1% of the principal prepaid if prepaid after December 27, 2015. In addition, at the maturity, termination or upon voluntary or mandatory prepayment of the Term Loan the Company must pay the Lender an additional one-time interest payment of $795 thousand. We will incur and accrue additional monthly interest expense over the term of the loan for this additional one-time interest payment using the loan’s effective cash interest rate.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loan using the loan’s effective interest rate.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a material adverse change in the Company, bankruptcy and insolvency defaults and material judgment defaults.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w w:val="99"/>
              </w:rPr>
              <w:t>Our debt at March 31, 2015 is summarized below (in thousands):</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0" w:type="dxa"/>
            <w:vAlign w:val="bottom"/>
          </w:tcPr>
          <w:p>
            <w:pPr>
              <w:spacing w:after="0"/>
              <w:rPr>
                <w:sz w:val="24"/>
                <w:szCs w:val="24"/>
                <w:color w:val="auto"/>
              </w:rPr>
            </w:pPr>
          </w:p>
        </w:tc>
        <w:tc>
          <w:tcPr>
            <w:tcW w:w="3160" w:type="dxa"/>
            <w:vAlign w:val="bottom"/>
          </w:tcPr>
          <w:p>
            <w:pPr>
              <w:ind w:left="1660"/>
              <w:spacing w:after="0"/>
              <w:rPr>
                <w:sz w:val="20"/>
                <w:szCs w:val="20"/>
                <w:color w:val="auto"/>
              </w:rPr>
            </w:pPr>
            <w:r>
              <w:rPr>
                <w:rFonts w:ascii="Arial" w:cs="Arial" w:eastAsia="Arial" w:hAnsi="Arial"/>
                <w:sz w:val="18"/>
                <w:szCs w:val="18"/>
                <w:color w:val="auto"/>
              </w:rPr>
              <w:t>Debt</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Long-term</w:t>
            </w:r>
          </w:p>
        </w:tc>
        <w:tc>
          <w:tcPr>
            <w:tcW w:w="22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2014</w:t>
            </w: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Principal payments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Balance at Mar 31, 2015</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7,631</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00" w:type="dxa"/>
            <w:vAlign w:val="bottom"/>
          </w:tcPr>
          <w:p>
            <w:pPr>
              <w:spacing w:after="0"/>
              <w:rPr>
                <w:sz w:val="24"/>
                <w:szCs w:val="24"/>
                <w:color w:val="auto"/>
              </w:rPr>
            </w:pPr>
          </w:p>
        </w:tc>
        <w:tc>
          <w:tcPr>
            <w:tcW w:w="3160" w:type="dxa"/>
            <w:vAlign w:val="bottom"/>
          </w:tcPr>
          <w:p>
            <w:pPr>
              <w:ind w:left="1300"/>
              <w:spacing w:after="0"/>
              <w:rPr>
                <w:sz w:val="20"/>
                <w:szCs w:val="20"/>
                <w:color w:val="auto"/>
              </w:rPr>
            </w:pPr>
            <w:r>
              <w:rPr>
                <w:rFonts w:ascii="Arial" w:cs="Arial" w:eastAsia="Arial" w:hAnsi="Arial"/>
                <w:sz w:val="18"/>
                <w:szCs w:val="18"/>
                <w:color w:val="auto"/>
              </w:rPr>
              <w:t>Debt Discount</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Long-term</w:t>
            </w:r>
          </w:p>
        </w:tc>
        <w:tc>
          <w:tcPr>
            <w:tcW w:w="22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2014</w:t>
            </w: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expense</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Mar 31, 2015</w:t>
            </w:r>
          </w:p>
        </w:tc>
        <w:tc>
          <w:tcPr>
            <w:tcW w:w="560" w:type="dxa"/>
            <w:vAlign w:val="bottom"/>
            <w:tcBorders>
              <w:bottom w:val="single" w:sz="8" w:color="CCEEFF"/>
            </w:tcBorders>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Debt, net</w:t>
            </w:r>
          </w:p>
        </w:tc>
        <w:tc>
          <w:tcPr>
            <w:tcW w:w="56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7,348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9,717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14</w:t>
            </w: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Our interest expense during the three month ended March 31, 2015 and 2014 consisted of the following:</w:t>
      </w:r>
    </w:p>
    <w:p>
      <w:pPr>
        <w:spacing w:after="0" w:line="225"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040" w:type="dxa"/>
            <w:vAlign w:val="bottom"/>
            <w:gridSpan w:val="4"/>
          </w:tcPr>
          <w:p>
            <w:pPr>
              <w:jc w:val="right"/>
              <w:ind w:right="4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w w:val="94"/>
              </w:rPr>
              <w:t>March 31,</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9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98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160"/>
              <w:spacing w:after="0"/>
              <w:rPr>
                <w:sz w:val="20"/>
                <w:szCs w:val="20"/>
                <w:color w:val="auto"/>
              </w:rPr>
            </w:pPr>
            <w:r>
              <w:rPr>
                <w:rFonts w:ascii="Arial" w:cs="Arial" w:eastAsia="Arial" w:hAnsi="Arial"/>
                <w:sz w:val="18"/>
                <w:szCs w:val="18"/>
                <w:color w:val="auto"/>
              </w:rPr>
              <w:t>Secured Promissory notes</w:t>
            </w:r>
          </w:p>
        </w:tc>
        <w:tc>
          <w:tcPr>
            <w:tcW w:w="780" w:type="dxa"/>
            <w:vAlign w:val="bottom"/>
          </w:tcPr>
          <w:p>
            <w:pPr>
              <w:jc w:val="right"/>
              <w:ind w:right="61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r>
      <w:tr>
        <w:trPr>
          <w:trHeight w:val="216"/>
        </w:trPr>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Debt issue costs</w:t>
            </w: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annual principal payments of the debt at March 31, 2015 are as follows: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Annual</w:t>
            </w:r>
          </w:p>
        </w:tc>
      </w:tr>
      <w:tr>
        <w:trPr>
          <w:trHeight w:val="230"/>
        </w:trPr>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Principal Payments</w:t>
            </w:r>
          </w:p>
        </w:tc>
      </w:tr>
      <w:tr>
        <w:trPr>
          <w:trHeight w:val="210"/>
        </w:trPr>
        <w:tc>
          <w:tcPr>
            <w:tcW w:w="23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(in thousands)</w:t>
            </w:r>
          </w:p>
        </w:tc>
        <w:tc>
          <w:tcPr>
            <w:tcW w:w="40" w:type="dxa"/>
            <w:vAlign w:val="bottom"/>
            <w:tcBorders>
              <w:bottom w:val="single" w:sz="8" w:color="CCEEFF"/>
            </w:tcBorders>
          </w:tcPr>
          <w:p>
            <w:pPr>
              <w:spacing w:after="0"/>
              <w:rPr>
                <w:sz w:val="18"/>
                <w:szCs w:val="18"/>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4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2,522</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2,741</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2,979</w:t>
            </w:r>
          </w:p>
        </w:tc>
      </w:tr>
      <w:tr>
        <w:trPr>
          <w:trHeight w:val="210"/>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FINANCING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universal shelf registration statement on Form S-3 was declared effective by the Securities and Exchange Commission (“SEC”) on March 15, 2013. On April 18, 2013, we filed a prospectus supplement with the SEC pursuant to which we may sell shares of our common stock from time to time in “at the market” offerings and certain other transactions, having sales proceeds of up to $13 million. We did not sell any shares of our common stock pursuant to our prospectus supplement during the three month period ended March 31, 2015 or during the year ended December 31, 2014. As of March 31, 2015, we may sell shares of our common stock under the S-3 registration statement having gross sales proceeds of up to $7.9 million. Net proceeds of these transactions may be used for general corporate purposes, including working capital, capital expenditures, research, development and marketing expenditures and clinical trial expenditures.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outstanding common stock purchase warrants (“warrants”) exercisable for 298 thousand shares of our common stock having an exercise price of $0.504 per share with an expiration date in December 2020. In January 2015, the exercise price of these warrants was reduced from $1.595 to $0.504 per share. (see Note 9). These warrants contain a cashless exercise feature. Our common stock warrant activity during the three months ended March 31, 2015 and 2014 is shown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right"/>
              <w:ind w:right="310"/>
              <w:spacing w:after="0"/>
              <w:rPr>
                <w:sz w:val="20"/>
                <w:szCs w:val="20"/>
                <w:color w:val="auto"/>
              </w:rPr>
            </w:pPr>
            <w:r>
              <w:rPr>
                <w:rFonts w:ascii="Arial" w:cs="Arial" w:eastAsia="Arial" w:hAnsi="Arial"/>
                <w:sz w:val="18"/>
                <w:szCs w:val="18"/>
                <w:color w:val="auto"/>
                <w:w w:val="98"/>
              </w:rPr>
              <w:t>Three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right"/>
              <w:ind w:right="670"/>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color w:val="auto"/>
              </w:rPr>
              <w:t>2015</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2014</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11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90"/>
              <w:spacing w:after="0" w:line="195"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(000’s)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(000’s)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Price</w:t>
            </w: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4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Issued</w:t>
            </w:r>
          </w:p>
        </w:tc>
        <w:tc>
          <w:tcPr>
            <w:tcW w:w="1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Expired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ending</w:t>
            </w:r>
          </w:p>
        </w:tc>
        <w:tc>
          <w:tcPr>
            <w:tcW w:w="14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three share-based compensation plans covering stock options and RSUs for our employees and directors.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fair-value method. The fair value of the RSUs is the market price of our common stock on the date of grant, less its exercise cost. Our share-based compensation expense recognized in the Company’s results of operations comprised the following:</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6"/>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6"/>
          </w:tcPr>
          <w:p>
            <w:pPr>
              <w:jc w:val="center"/>
              <w:ind w:right="22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stock units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stock units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jc w:val="center"/>
              <w:ind w:right="4690"/>
              <w:spacing w:after="0"/>
              <w:rPr>
                <w:sz w:val="20"/>
                <w:szCs w:val="20"/>
                <w:color w:val="auto"/>
              </w:rPr>
            </w:pPr>
            <w:r>
              <w:rPr>
                <w:rFonts w:ascii="Arial" w:cs="Arial" w:eastAsia="Arial" w:hAnsi="Arial"/>
                <w:sz w:val="18"/>
                <w:szCs w:val="18"/>
                <w:color w:val="auto"/>
                <w:w w:val="90"/>
              </w:rPr>
              <w:t>Subtotal</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jc w:val="center"/>
              <w:ind w:right="4650"/>
              <w:spacing w:after="0"/>
              <w:rPr>
                <w:sz w:val="20"/>
                <w:szCs w:val="20"/>
                <w:color w:val="auto"/>
              </w:rPr>
            </w:pPr>
            <w:r>
              <w:rPr>
                <w:rFonts w:ascii="Arial" w:cs="Arial" w:eastAsia="Arial" w:hAnsi="Arial"/>
                <w:sz w:val="18"/>
                <w:szCs w:val="18"/>
                <w:color w:val="auto"/>
                <w:w w:val="89"/>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one stock option plan in effect, and one stock option plan has expired by its terms, but pursuant to which stock options have been granted and remain outstanding. Our stock option award activity during the three months ended March 31, 2015 and 2014 is shown below:</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ind w:left="180"/>
              <w:spacing w:after="0"/>
              <w:rPr>
                <w:sz w:val="20"/>
                <w:szCs w:val="20"/>
                <w:color w:val="auto"/>
              </w:rPr>
            </w:pPr>
            <w:r>
              <w:rPr>
                <w:rFonts w:ascii="Arial" w:cs="Arial" w:eastAsia="Arial" w:hAnsi="Arial"/>
                <w:sz w:val="18"/>
                <w:szCs w:val="18"/>
                <w:color w:val="auto"/>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right"/>
              <w:ind w:right="920"/>
              <w:spacing w:after="0"/>
              <w:rPr>
                <w:sz w:val="20"/>
                <w:szCs w:val="20"/>
                <w:color w:val="auto"/>
              </w:rPr>
            </w:pPr>
            <w:r>
              <w:rPr>
                <w:rFonts w:ascii="Arial" w:cs="Arial" w:eastAsia="Arial" w:hAnsi="Arial"/>
                <w:sz w:val="18"/>
                <w:szCs w:val="18"/>
                <w:color w:val="auto"/>
              </w:rPr>
              <w:t>March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2015</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2014</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14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3"/>
              </w:rPr>
              <w:t>Number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rPr>
              <w:t>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Options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(000’s)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Price</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(000’s)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Price</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ending</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Options exercisable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2014, a total of 31 thousand stock options were exercised by our employees. Of the total amount of stock option exercises, 24 thousand of stock options were exercised under various cashless exercise features of the plan. Our employees elected to have 18 thousand shares withheld in satisfaction of $36 thousand for both the exercise costs and withholding tax obligations on those options, resulting in the net issuance of 13 thousand shares of common stock from all stock option exercises.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Restricted Stock Unit Award Plans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two Restricted Stock Unit Award Plans for our employees and non-employee directors, a 2005 Restricted Stock Unit Award Plan (the “2005 RSU Plan”) and a 2014 Restricted Stock Unit Award Plan (the “2014 RSU Plan”).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w w:val="96"/>
              </w:rPr>
              <w:t>A summary of the grants under the RSU Plans consisted of the following:</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6"/>
          </w:tcPr>
          <w:p>
            <w:pPr>
              <w:jc w:val="center"/>
              <w:ind w:right="200"/>
              <w:spacing w:after="0"/>
              <w:rPr>
                <w:sz w:val="20"/>
                <w:szCs w:val="20"/>
                <w:color w:val="auto"/>
              </w:rPr>
            </w:pPr>
            <w:r>
              <w:rPr>
                <w:rFonts w:ascii="Arial" w:cs="Arial" w:eastAsia="Arial" w:hAnsi="Arial"/>
                <w:sz w:val="18"/>
                <w:szCs w:val="18"/>
                <w:color w:val="auto"/>
                <w:w w:val="90"/>
              </w:rPr>
              <w:t>Three months Ended March 31,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2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2014</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9"/>
              </w:rPr>
              <w:t>(in thousands)</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1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Number of</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Number of</w:t>
            </w: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Vested</w:t>
            </w: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color w:val="auto"/>
                <w:w w:val="95"/>
              </w:rPr>
              <w:t>Number of</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Vested</w:t>
            </w:r>
          </w:p>
        </w:tc>
      </w:tr>
      <w:tr>
        <w:trPr>
          <w:trHeight w:val="230"/>
        </w:trPr>
        <w:tc>
          <w:tcPr>
            <w:tcW w:w="11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RSUs</w:t>
            </w:r>
          </w:p>
        </w:tc>
        <w:tc>
          <w:tcPr>
            <w:tcW w:w="1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RSUs</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RSUs</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RSUs</w:t>
            </w:r>
          </w:p>
        </w:tc>
      </w:tr>
      <w:tr>
        <w:trPr>
          <w:trHeight w:val="210"/>
        </w:trPr>
        <w:tc>
          <w:tcPr>
            <w:tcW w:w="116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r>
      <w:tr>
        <w:trPr>
          <w:trHeight w:val="216"/>
        </w:trPr>
        <w:tc>
          <w:tcPr>
            <w:tcW w:w="116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Vested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Outstanding, ending</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2005 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our 2005 RSU Plan, one-fourth of vested shares of common stock underlying RSU awards of 3.3 million shares were distributed (after payment of exercise costs of $0.01 par value per share) on January 1 of each of years 2011 thru 2014. On January 1, 2014, 0.50 million shares were distributed to the holders while 0.33 million shares were withheld by the Company upon elections made to exchange RSUs in satisfaction of $0.5 million withholding tax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RSUs granted under the 2005 RSU Plan had been distributed effective January 1, 2014.</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Restricted Stock Unit Award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2014 RSU Plan was approved by shareholders on May 1, 2014 and permits the grant of up to 2.0 million shares of our common stock pursuant to awards under the 2014 RSU Plan. As of March 31, 2015, 1.65 million shares are available for award under the 2014 RSU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RSU grants under the 2014 RSU Plan is as follows:</w:t>
      </w:r>
    </w:p>
    <w:p>
      <w:pPr>
        <w:spacing w:after="0" w:line="23" w:lineRule="exact"/>
        <w:rPr>
          <w:sz w:val="20"/>
          <w:szCs w:val="20"/>
          <w:color w:val="auto"/>
        </w:rPr>
      </w:pPr>
    </w:p>
    <w:p>
      <w:pPr>
        <w:jc w:val="both"/>
        <w:ind w:left="500" w:hanging="168"/>
        <w:spacing w:after="0" w:line="28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May 1, 2014, we awarded approximately 37 thousand RSUs to each of our 4 non-employee directors. Such RSU awards vested 50% on June 30, 2014 and 25% on each of September 30 and December 31, 2014. Such non-employee director awards allow for non-employee directors to receive payment in cash, instead of stock, for up to 40% of each RSU award. The RSU awards subject to cash settlement are recorded as a liability in the Company’s balance sheet. The liability was $26 thousand at December 31, 2014. Accordingly the vested portion of the awards containing the cash settlement feature are being marked-to-market each reporting period until they are distributed. Marked-to-market accounting can create fluctuations in our compensation expense including the need to record additional expense. RSU awards are generally distributed on the first business day of the year after vesting, but such distribution can be deferred until a later date at the election of the non-employee director.</w:t>
      </w:r>
    </w:p>
    <w:p>
      <w:pPr>
        <w:spacing w:after="0" w:line="4" w:lineRule="exact"/>
        <w:rPr>
          <w:rFonts w:ascii="Arial" w:cs="Arial" w:eastAsia="Arial" w:hAnsi="Arial"/>
          <w:sz w:val="16"/>
          <w:szCs w:val="16"/>
          <w:color w:val="auto"/>
        </w:rPr>
      </w:pPr>
    </w:p>
    <w:p>
      <w:pPr>
        <w:jc w:val="both"/>
        <w:ind w:left="500" w:hanging="168"/>
        <w:spacing w:after="0" w:line="25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January 2, 2015, we awarded approximately 51.5 thousand RSUs to each of our 4 non-employee directors which also allow for them to receive payment in cash, instead of stock, for up to 40% of each RSU award. Such awards vest 25% at the end of each calendar quarter in 2015. The RSU awards subject to cash settlement are subject to marked-to market accounting and the liability recorded in the Company’s balance sheet was $22 thousand at March 31, 2015. Distributions of stock under the January 2, 2015 award cannot be deferred until a later date and the stock under such awards will be distributed on January 4, 2016.</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3" w:lineRule="exact"/>
        <w:rPr>
          <w:sz w:val="20"/>
          <w:szCs w:val="20"/>
          <w:color w:val="auto"/>
        </w:rPr>
      </w:pPr>
    </w:p>
    <w:p>
      <w:pPr>
        <w:ind w:left="500" w:hanging="168"/>
        <w:spacing w:after="0" w:line="323"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January 2, 2015, 129 thousand RSUs from the May 1, 2014 award were distributed and 18 thousand RSUs were deferred until a future distribution date. Of the 129 thousand RSUs distributed, 99 thousand RSUs were distributed in common stock and 30 thousand RSUs were settled in cash.</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March 31, 2015 and December 31, 2014,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We have approximately $51.5 million federal income tax benefits at December 31, 2014 derived from $151.4 million Federal NOLs at the U.S. statutory tax rate of 34% and $2.9 million state NOLs, available to offset future taxable income, some of which have limitations for use as prescribed under IRC Section 382. Our Federal and state NOLs will expire in varying amounts between 2016 and 2034 if not used, and those expirations will cause fluctuations in our valuation allowances. As of December 31, 2014 we had federal research and development tax credits of approximately $1.1 million, which expire in the years 2024 through 2034. We also had approximately $0.3 million of Indiana state research and development tax credits, which expire in the years 2015 through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 (“EPS”)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EPS is computed by dividing net income or loss by the weighted average common shares outstanding during a period, including shares weighted related to vested Restricted Stock Units (“RSUs”) (see Note 12).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2014 as the Company reported a net loss for the three month period, and including the effects of common stock equivalents in the diluted EPS calculation would have been antidilutive. The Weighted-average common shares outstanding (diluted) computation is not impacted during any period where the exercise price of a stock option is greater than the average market price. There were 3.58 million non-dilutive equity awards outstanding for the three-months ended March 31, 2015 that are not included in the corresponding period Weighted-average common shares outstanding (diluted) computation.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0" w:type="dxa"/>
            <w:vAlign w:val="bottom"/>
            <w:gridSpan w:val="6"/>
          </w:tcPr>
          <w:p>
            <w:pPr>
              <w:jc w:val="right"/>
              <w:ind w:right="40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920" w:type="dxa"/>
            <w:vAlign w:val="bottom"/>
            <w:tcBorders>
              <w:top w:val="single" w:sz="8" w:color="auto"/>
            </w:tcBorders>
            <w:gridSpan w:val="5"/>
          </w:tcPr>
          <w:p>
            <w:pPr>
              <w:jc w:val="right"/>
              <w:ind w:right="290"/>
              <w:spacing w:after="0" w:line="195" w:lineRule="exact"/>
              <w:rPr>
                <w:sz w:val="20"/>
                <w:szCs w:val="20"/>
                <w:color w:val="auto"/>
              </w:rPr>
            </w:pPr>
            <w:r>
              <w:rPr>
                <w:rFonts w:ascii="Arial" w:cs="Arial" w:eastAsia="Arial" w:hAnsi="Arial"/>
                <w:sz w:val="18"/>
                <w:szCs w:val="18"/>
                <w:color w:val="auto"/>
              </w:rPr>
              <w:t>(in thousands except 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8"/>
                <w:szCs w:val="18"/>
                <w:color w:val="auto"/>
              </w:rPr>
              <w:t>data)</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EPS - basic</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Numerator: net income (loss)</w:t>
            </w:r>
          </w:p>
        </w:tc>
        <w:tc>
          <w:tcPr>
            <w:tcW w:w="20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1,239</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48,947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48,842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 RSUs</w:t>
            </w:r>
          </w:p>
        </w:tc>
        <w:tc>
          <w:tcPr>
            <w:tcW w:w="1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Basic weighted average shares outstanding</w:t>
            </w:r>
          </w:p>
        </w:tc>
        <w:tc>
          <w:tcPr>
            <w:tcW w:w="1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48,965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EPS - basic</w:t>
            </w:r>
          </w:p>
        </w:tc>
        <w:tc>
          <w:tcPr>
            <w:tcW w:w="1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EPS – assuming dilution</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Numerator: net income (loss)</w:t>
            </w:r>
          </w:p>
        </w:tc>
        <w:tc>
          <w:tcPr>
            <w:tcW w:w="20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1,239</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48,947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48,842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 RSUs</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warrants</w:t>
            </w:r>
          </w:p>
        </w:tc>
        <w:tc>
          <w:tcPr>
            <w:tcW w:w="1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Diluted weighted average shares outstanding</w:t>
            </w:r>
          </w:p>
        </w:tc>
        <w:tc>
          <w:tcPr>
            <w:tcW w:w="1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49,347</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EPS - diluted</w:t>
            </w:r>
          </w:p>
        </w:tc>
        <w:tc>
          <w:tcPr>
            <w:tcW w:w="1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Excluded dilutive securities:</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Common stock issuable:</w:t>
            </w: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Common stock warrants</w:t>
            </w:r>
          </w:p>
        </w:tc>
        <w:tc>
          <w:tcPr>
            <w:tcW w:w="1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excluded potentially dilutive shares</w:t>
            </w:r>
          </w:p>
        </w:tc>
        <w:tc>
          <w:tcPr>
            <w:tcW w:w="1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Complaint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8,389,007. The complaint seeks injunctive relief as well as awards of damages and attorneys’ fees. We deny the allegations in the complaint, believe they are without merit and intend to defend the action vigorously.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which plaintiffs voluntarily dismissed in December 2014. In this product liability litigation against numerous pharmaceutical product manufacturers and distributors, including us, plaintiffs claim injuries from their use of the Reglan brand of metoclopramide and generic metoclopramide.</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Pennsylvania action, over 200 lawsuits have been filed against us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99 pending cases against us, with more than 400 individual plaintiffs.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19 years ago. In addition, we believe the June 23, 2011 decision by the U.S. Supreme Court in </w:t>
      </w:r>
      <w:r>
        <w:rPr>
          <w:rFonts w:ascii="Arial" w:cs="Arial" w:eastAsia="Arial" w:hAnsi="Arial"/>
          <w:sz w:val="18"/>
          <w:szCs w:val="18"/>
          <w:i w:val="1"/>
          <w:iCs w:val="1"/>
          <w:color w:val="auto"/>
        </w:rPr>
        <w:t>PLIVA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 Mensing (“Mensing </w:t>
      </w:r>
      <w:r>
        <w:rPr>
          <w:rFonts w:ascii="Arial" w:cs="Arial" w:eastAsia="Arial" w:hAnsi="Arial"/>
          <w:sz w:val="18"/>
          <w:szCs w:val="18"/>
          <w:color w:val="auto"/>
        </w:rPr>
        <w:t>decision”) holding that state tort law failure to warn claims against generic drug companies are pre-empted by the 1984 Hatch-Waxman</w:t>
      </w:r>
      <w:r>
        <w:rPr>
          <w:rFonts w:ascii="Arial" w:cs="Arial" w:eastAsia="Arial" w:hAnsi="Arial"/>
          <w:sz w:val="18"/>
          <w:szCs w:val="18"/>
          <w:i w:val="1"/>
          <w:iCs w:val="1"/>
          <w:color w:val="auto"/>
        </w:rPr>
        <w:t xml:space="preserve"> </w:t>
      </w:r>
      <w:r>
        <w:rPr>
          <w:rFonts w:ascii="Arial" w:cs="Arial" w:eastAsia="Arial" w:hAnsi="Arial"/>
          <w:sz w:val="18"/>
          <w:szCs w:val="18"/>
          <w:color w:val="auto"/>
        </w:rPr>
        <w:t>Act Amendments and federal drug regulations will assist us in favorably resolving these cases. We have consistently maintained the position that these claims are without merit and intend to vigorously defend these 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As of September 2012, the New Jersey trial court dismissed Acura with prejudice. In Pennsylvania,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Pennsylvania, on November 18, 2011, the trial court denied Generic Defendants’ dispositive preemption motions. On appeal, the Pennsylvania Superior Court held in a July 29, 2013 decision that federal preemption applied, but that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did not completely bar all claims and refused to dismiss these cases. On September 17, 2014, the Pennsylvania Supreme Court declined to hear a further appeal. On December 16, 2014, Generic Defendants filed a Petition for a Writ of Certiorari requesting that the United States Supreme Court agree to hear a further appeal on the grounds that federal preemption under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should completely bar all of these claims. The Court is expected to issue its decision concerning acceptance or denial of this appeal by June 30, 2015. All trial court proceedings have been stayed pending resolution of this lengthy appeal process. To the extent that plaintiffs intend to pursue their claims in the future, if the appeal is denied, Acura nonetheless remains optimistic that most, if not all, of these Philadelphia cases will eventually be dismissed against us based upon the favorable aspects of the Superior Court’s narrow preemption ruling and lack of product identification, although there can be no assurance in this regard. Legal fees related to this matter are currently covered by our insurance carrier.</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California, the trial court entered a May 25, 2012 Order denying Generic Defendants’ dispositive preemption motions. The Generics Defendants’ appeals from this order were denied by the California appellate courts. Therefore, subject to further developments, plaintiffs may be permitted to proceed with these lawsuits including state law claims based on (1) failing to communicate warnings to physicians through “Dear Doctor” letters; and (2) failure to update labeling to adopt brand labeling changes. California trial court also has acknowledged the preemptive effect of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so that any claim “that would render the generic defendants in violation of federal law if they are found responsible under a state law cause of action, would not be permissible.”</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California Superior Court denied a subsequent demurrer and motion to strike seeking dismissal of plaintiffs’ manufacturing defect and defective product claims to the extent that they are barred by federal preemption based upon the June 2013 </w:t>
      </w:r>
      <w:r>
        <w:rPr>
          <w:rFonts w:ascii="Arial" w:cs="Arial" w:eastAsia="Arial" w:hAnsi="Arial"/>
          <w:sz w:val="17"/>
          <w:szCs w:val="17"/>
          <w:i w:val="1"/>
          <w:iCs w:val="1"/>
          <w:color w:val="auto"/>
        </w:rPr>
        <w:t>Bartlett</w:t>
      </w:r>
      <w:r>
        <w:rPr>
          <w:rFonts w:ascii="Arial" w:cs="Arial" w:eastAsia="Arial" w:hAnsi="Arial"/>
          <w:sz w:val="17"/>
          <w:szCs w:val="17"/>
          <w:color w:val="auto"/>
        </w:rPr>
        <w:t xml:space="preserve"> decision. More recently, on April 10, 2015, Judge Kramer ruled in plaintiffs’ favor on a jurisdictional waiver motion against PLIVA and Teva which could be applied in the future to other defendants. Thus far, Generic Defendants (including Acura) have not been required to file answers or other responsive pleadings in each individual case in which they are named defendants. Within the next few months, these cases also will be transferred to a new judge who will address a case management schedule for claims against Generic Defendants and possible selection of bellwether cases for focused discovery and trial. To date, however, none of these plaintiffs have confirmed they ingested any of the generic metoclopramide manufactured by us. Therefore, we expect the number of plaintiffs with possible claims to be reduced voluntarily or by motion practice. Action will be taken in an effort to dismiss Acura from these cases, although there can be no assurance in this regard. Legal fees related to this matter are currently covered by our insurance carrier.</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March 31, 2015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2016 for approximately $25 thousand annually.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Egalet for Oxaydo;</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fund, or obtain funding for, products developed utilizing our Aversion®, Impede® and Limitx™ technologies;</w:t>
      </w:r>
    </w:p>
    <w:p>
      <w:pPr>
        <w:spacing w:after="0" w:line="225" w:lineRule="exact"/>
        <w:rPr>
          <w:rFonts w:ascii="Arial" w:cs="Arial" w:eastAsia="Arial" w:hAnsi="Arial"/>
          <w:sz w:val="18"/>
          <w:szCs w:val="18"/>
          <w:color w:val="auto"/>
        </w:rPr>
      </w:pPr>
    </w:p>
    <w:p>
      <w:pPr>
        <w:ind w:left="500" w:hanging="168"/>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results of studies AP-ADF-302, AP-ADF-303, and AP-ADF-304 relating to our Aversion hydrocodone/acetaminophen product will be acceptable to the FDA;</w:t>
      </w:r>
    </w:p>
    <w:p>
      <w:pPr>
        <w:spacing w:after="0" w:line="170" w:lineRule="exact"/>
        <w:rPr>
          <w:rFonts w:ascii="Arial" w:cs="Arial" w:eastAsia="Arial" w:hAnsi="Arial"/>
          <w:sz w:val="18"/>
          <w:szCs w:val="18"/>
          <w:color w:val="auto"/>
        </w:rPr>
      </w:pPr>
    </w:p>
    <w:p>
      <w:pPr>
        <w:ind w:left="500" w:right="20" w:hanging="168"/>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we will conduct an additional intranasal abuse liability study on our Aversion hydrocodone/acetaminophen product and, if conducted, whether the results of such study will support the filing of a New Drug Application and/or a claim of intranasal abuse deterrence;</w:t>
      </w:r>
    </w:p>
    <w:p>
      <w:pPr>
        <w:spacing w:after="0" w:line="146" w:lineRule="exact"/>
        <w:rPr>
          <w:rFonts w:ascii="Arial" w:cs="Arial" w:eastAsia="Arial" w:hAnsi="Arial"/>
          <w:sz w:val="17"/>
          <w:szCs w:val="17"/>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our licensee’s ability to obtain necessary regulatory approvals and commercialize products utilizing our technologies;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acceptance of and competitive environment for any of our products;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wholesalers and pharmacies to stock our Nexafed products;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 and the timing of first sales;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Aversion Technology product candidates;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225" w:lineRule="exact"/>
        <w:rPr>
          <w:rFonts w:ascii="Arial" w:cs="Arial" w:eastAsia="Arial" w:hAnsi="Arial"/>
          <w:sz w:val="18"/>
          <w:szCs w:val="18"/>
          <w:color w:val="auto"/>
        </w:rPr>
      </w:pPr>
    </w:p>
    <w:p>
      <w:pPr>
        <w:ind w:left="500" w:right="180" w:hanging="168"/>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spacing w:after="0" w:line="170" w:lineRule="exact"/>
        <w:rPr>
          <w:rFonts w:ascii="Arial" w:cs="Arial" w:eastAsia="Arial" w:hAnsi="Arial"/>
          <w:sz w:val="18"/>
          <w:szCs w:val="18"/>
          <w:color w:val="auto"/>
        </w:rPr>
      </w:pPr>
    </w:p>
    <w:p>
      <w:pPr>
        <w:ind w:left="500" w:hanging="168"/>
        <w:spacing w:after="0" w:line="259"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86" w:lineRule="exact"/>
        <w:rPr>
          <w:rFonts w:ascii="Arial" w:cs="Arial" w:eastAsia="Arial" w:hAnsi="Arial"/>
          <w:sz w:val="18"/>
          <w:szCs w:val="18"/>
          <w:color w:val="auto"/>
        </w:rPr>
      </w:pPr>
    </w:p>
    <w:p>
      <w:pPr>
        <w:ind w:left="500" w:right="320" w:hanging="168"/>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ind w:left="500" w:hanging="168"/>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225" w:lineRule="exact"/>
        <w:rPr>
          <w:rFonts w:ascii="Arial" w:cs="Arial" w:eastAsia="Arial" w:hAnsi="Arial"/>
          <w:sz w:val="18"/>
          <w:szCs w:val="18"/>
          <w:color w:val="auto"/>
        </w:rPr>
      </w:pPr>
    </w:p>
    <w:p>
      <w:pPr>
        <w:ind w:left="500" w:right="260" w:hanging="168"/>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will be able to promote the features of our abuse discouraging technologies; and</w:t>
      </w:r>
    </w:p>
    <w:p>
      <w:pPr>
        <w:spacing w:after="0" w:line="170" w:lineRule="exact"/>
        <w:rPr>
          <w:rFonts w:ascii="Arial" w:cs="Arial" w:eastAsia="Arial" w:hAnsi="Arial"/>
          <w:sz w:val="18"/>
          <w:szCs w:val="18"/>
          <w:color w:val="auto"/>
        </w:rPr>
      </w:pPr>
    </w:p>
    <w:p>
      <w:pPr>
        <w:ind w:left="500" w:hanging="168"/>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2014 Annual Report on Form 10-K as filed with the U.S. Securities and Exchange Commission..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Technology is a mixture of inactive ingredients incorporated into pharmaceutical tablets and capsules intended to address some common methods of product tampering associated with opioid abuse. Oxaydo™ Tablets (formerly known as Oxecta®)(oxycodone HCl, CII), is the first approved product utilizing Aversion in the United States.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We are advised that Egalet plans to launch Oxaydo in the United States in the third quarter of 2015. We have also developed Impede Technology which is a combination of inactive ingredients that prevent the extraction of pseudoephedrine from tablets and disrupt the direct conversion of pseudoephedrine from tablets into methamphetamine. We launched our first Impede Technology product, Nexafed, into the United States market in December 2012 and launch our Nexafed Sinus Pressure + Pain product in the United States in February 2015. We have multiple pseudoephedrine products in development utilizing our Impede Technology. Our third abuse deterrent technology, Limitx, is designed to retard the release of active drug ingredients when too many tablets are accidently or purposefully ingested. We are conducting manufacturing scale-up and plan to conduct a pharmacokinetic study on a hydromorphone product formulation using our Limitx technology under a grant from the National Institute on Drug Abuse of the National Institutes of Health. On April 9, 2015, we announced initiation of development of an immediate release hydrocodone bitartrate with acetaminophen product utilizing our Limitx technology.</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Opioid analgesics are one of the largest prescription drug markets in the United States with 250 million prescriptions dispensed in 2014. Prescription opioids are also the most widely abused drugs with 12 million people abusing or misusing these products annually. Oxaydo will compete in the immediate-release opioid product segment. Because immediate-release opioid products are used for both acute and chronic pain, a prescription, on average, contains 65 tablets or capsules. According to IMS Health, in 2014, sales in the immediate-release opioid product segment were approximately 235 million prescriptions and $3.0 billion, of which approximately 98% was attributable to generic products. Immediate-release oxycodone tablets represent 14.8 million of these prescriptions or almost 1.6 billion tablets. The FDA approved label for our Oxaydo product describes the unique, and we believe promotable, abuse deterrent features of our product which we believe makes prescribing our product attractive to some healthcare providers.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spacing w:after="0" w:line="253"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2012, the DEA reported 11,210 laboratory incidents involving the illegal use of OTC pseudoephedrine products to manufacture the highly addictive drug methamphetamine, or meth. According to the Substance Abuse and Mental Health Services Administration, users of methamphetamine surged in 2013 to 595,000 people up from 440,000 in 2012. Nexafed, our 30mg pseudoephedrine hydrochloride immediate-release tablet, is stocked in approximately 20% of the estimated 65,000 U.S. pharmacies. Many of these pharmacies are either actively recommending Nexafed to their patients or carry Nexafed as their only 30mg pseudoephedrine product. We launched our first line extension, Nexafed Sinus Pressure + Pain, a 30/325mg pseudoephedrine HCl and acetaminophen tablet using our Impede technology in February 2015. The category for meth-resistant pseudoephedrine products has also been the focus of some, as yet unsuccessful, state legislation seeking to incentivize consumers and pharmacists to utilize these meth-resistant technologies.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an active development program to develop an extended-release version of our Impede technology to capitalize on higher sales products in the category. We also are investigating new technologies that would improve on our meth-resistant capabilities. On March 23, 2005, we announced preliminary top line results from our pilot clinical study demonstrating bioequivalence of our Nexafed extended release tablets to Sudafed® 12-hour Tablets. Nexafed extended release tablets utilize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2014 we announced that the FDA questioned whether the intranasal route is a relevant route of abuse for hydrocodone/acetaminophen products, which we were developing with our Aversion Technology. In October 2014, the FDA denied on procedural grounds our formal dispute resolution request appealing the position taken by the Division of Anesthesia, Analgesia and Addiction Products (“DAAAP”) that abuse by snorting hydrocodone with acetaminophen products lacks relevance. The FDA’s April 2015 Abuse-Deterrent Opioid Evaluation and Labeling Guidance (the “FDA’s April 2015 Guidance”) appears to take the same position by indicating that immediate-release opioid and acetaminophen products are predominantly abused using the oral route and products demonstrating a deterrent effect by the nasal route may not meaningfully reduce overall abuse of the product. In view of the regulatory history of Aversion Hydrocodone/APAP and the FDA’s April 2015 Guidance, we have indefinitely suspended further development of our Aversion Hydrocodone/APAP and reallocated related resources to our Limitx hydrocodone/APAP product candidate.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Aversion Technology is a unique composition of inactive pharmaceutical ingredients utilized with an opioid or other drug susceptible of abuse to provide abuse deterrent functionality. Oxaydo is covered by claims in five issued U.S. patents, which expire between 2023 and 2025. Our Aversion Technology products are intended to provide the same therapeutic benefits of the active drug ingredient as currently marketed products containing the same active pharmaceutical ingredient, while simultaneously discouraging the following common methods of pharmaceutical product misuse and abuse:</w:t>
      </w:r>
    </w:p>
    <w:p>
      <w:pPr>
        <w:spacing w:after="0" w:line="171" w:lineRule="exact"/>
        <w:rPr>
          <w:sz w:val="20"/>
          <w:szCs w:val="20"/>
          <w:color w:val="auto"/>
        </w:rPr>
      </w:pPr>
    </w:p>
    <w:p>
      <w:pPr>
        <w:jc w:val="both"/>
        <w:ind w:left="660" w:hanging="4"/>
        <w:spacing w:after="0" w:line="279" w:lineRule="auto"/>
        <w:tabs>
          <w:tab w:leader="none" w:pos="1073" w:val="left"/>
        </w:tabs>
        <w:numPr>
          <w:ilvl w:val="0"/>
          <w:numId w:val="11"/>
        </w:numPr>
        <w:rPr>
          <w:rFonts w:ascii="Arial" w:cs="Arial" w:eastAsia="Arial" w:hAnsi="Arial"/>
          <w:sz w:val="17"/>
          <w:szCs w:val="17"/>
          <w:color w:val="auto"/>
        </w:rPr>
      </w:pPr>
      <w:r>
        <w:rPr>
          <w:rFonts w:ascii="Arial" w:cs="Arial" w:eastAsia="Arial" w:hAnsi="Arial"/>
          <w:sz w:val="17"/>
          <w:szCs w:val="17"/>
          <w:color w:val="auto"/>
        </w:rPr>
        <w:t>Drug abusers may dissolve pharmaceutical tablets or capsules in water, alcohol, or other common solvents, filter the dissolved solution into a syringe, and inject the resulting fluid intravenously to obtain euphoric effects. Aversion Technology tablets dissolved in generally available solvents, including water or alcohol, into a volume and form suitable for intravenous injection, converts the tablet into a viscous gel mixture. We believe this gel will limit or impede drug abusers from extracting and injecting the active ingredients from our tablets.</w:t>
      </w:r>
    </w:p>
    <w:p>
      <w:pPr>
        <w:spacing w:after="0" w:line="171" w:lineRule="exact"/>
        <w:rPr>
          <w:rFonts w:ascii="Arial" w:cs="Arial" w:eastAsia="Arial" w:hAnsi="Arial"/>
          <w:sz w:val="17"/>
          <w:szCs w:val="17"/>
          <w:color w:val="auto"/>
        </w:rPr>
      </w:pPr>
    </w:p>
    <w:p>
      <w:pPr>
        <w:jc w:val="both"/>
        <w:ind w:left="660" w:hanging="4"/>
        <w:spacing w:after="0" w:line="259" w:lineRule="auto"/>
        <w:tabs>
          <w:tab w:leader="none" w:pos="1029"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Drug abusers may crush pharmaceutical tablets or capsules and intranasally snort the resulting powder to absorb active ingredient through the nasal passages to obtain euphoric effects. The combination of Aversion Technology inactive ingredients is intended to induce nasal passage discomfort if the tablets are snorted. We believe products which utilize Aversion Technology may be disliked and will discourage prospective nasal drug abusers from snorting crushed tablets or capsules.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The extent and manner in which any of the features described above may be described in the FDA approved label for products that may be developed utilizing our Aversion or Limitx Technologies will be dependent on the results of and the acceptance by the FDA of our and our licensees’ studies for each product.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Oxaydo (oxycodone HCI tablets) is a Schedule II narcotic indicated for the management of acute and chronic moderate to severe pain where the use of an opioid analgesic is appropriate. Oxaydo was FDA approved on June 17, 2011 and introduced, by our former licensee, Pfizer Inc., into the U.S. market in February 2012. Pfizer strategically deprioritized their efforts in immediate-release opioids commencing in summer of 2012 and we reacquired the rights to Oxaydo in April 2014, shortly after Pfizer initiated minimal, non-sales representative promotion in late 2013. On January 7, 2015, we entered into a Collaboration and License Agreement with Egalet pursuant to which we exclusively licensed to Egalet worldwide rights to manufacture and commercialize Oxaydo. Oxaydo is approved in 5mg and 7.5mg strengths. We are advised that Egalet plans to launch Oxaydo in the United States in the third quarter of 2015.</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2014 market for immediate-release oxycodone products was 14.8 million dispensed prescription or 1.6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 Because the target audience for promoting our opioid products is so large, we will seek marketing partners to best capitalize on our opioid opportunities.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820" w:hanging="164"/>
        <w:spacing w:after="0" w:line="25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820" w:right="20" w:hanging="164"/>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Egalet Agreement Covering Oxaydo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7, 2015, we and Egalet US, Inc. and Egalet Ltd., each a subsidiary of Egalet Corporation, (collectively, “Egalet”) entered into a Collaboration and License Agreement (the “Egalet Agreement”) to commercialize Oxaydo™ tablets containing our Aversion® Technology. Oxaydo is approved by the FDA for marketing in the United States in 5 mg and 7.5 mg strengths. Under the terms of the Egalet Agreement, we are transferring the approved NDA for Oxaydo to Egalet and Egalet is granted an exclusive license under our intellectual property rights for development and commercialization of Oxaydo worldwide (the “Territory”) in all strengths, subject to our right to co-promote Oxaydo in the United States.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Egalet paid us an upfront payment of $5 million upon signing of the Egalet Agreement and will pay us a $2.5 million milestone on the earlier to occur of (A) the launch of Oxaydo and (B) January 1, 2016, but in no event earlier than June 30, 2015. In addition, we will be entitled to a one-time $12.5 million milestone payment when worldwide Oxaydo net sales reach $150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for payments required to be made by Egalet to acquire intellectual property rights to commercialize Oxaydo, with an aggregate minimum floor.</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Egalet also may terminate the Agreement prior to the launch of Oxaydo on 30 days prior written notice upon the occurrence of serious safety issues, regulatory restrictions and intellectual property issues, in each case involving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Impede 1.0 Technology, a proprietary mixture of inactive ingredients, prevents the extraction of pseudoephedrine, or PSE, from tablets using known extraction methods and disrupts the direct conversion of PSE from tablets into methamphetamine. The chemical structure of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vast range of solvents are amenable to the process.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developed several next generation, or Impede 2.0, prototypes of our Impede Technology to improve the meth-resistance of our technology. We have completed one-pot, direct conversion meth testing performed by our CRO with results as follows: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Meth Resistant</w:t>
            </w:r>
          </w:p>
        </w:tc>
        <w:tc>
          <w:tcPr>
            <w:tcW w:w="1360" w:type="dxa"/>
            <w:vAlign w:val="bottom"/>
            <w:vMerge w:val="restart"/>
          </w:tcPr>
          <w:p>
            <w:pPr>
              <w:ind w:left="80"/>
              <w:spacing w:after="0"/>
              <w:rPr>
                <w:sz w:val="20"/>
                <w:szCs w:val="20"/>
                <w:color w:val="auto"/>
              </w:rPr>
            </w:pPr>
            <w:r>
              <w:rPr>
                <w:rFonts w:ascii="Arial" w:cs="Arial" w:eastAsia="Arial" w:hAnsi="Arial"/>
                <w:sz w:val="18"/>
                <w:szCs w:val="18"/>
                <w:color w:val="auto"/>
                <w:w w:val="95"/>
              </w:rPr>
              <w:t>Meth Recovery</w:t>
            </w:r>
            <w:r>
              <w:rPr>
                <w:rFonts w:ascii="Arial" w:cs="Arial" w:eastAsia="Arial" w:hAnsi="Arial"/>
                <w:sz w:val="30"/>
                <w:szCs w:val="30"/>
                <w:color w:val="auto"/>
                <w:w w:val="95"/>
                <w:vertAlign w:val="superscript"/>
              </w:rPr>
              <w:t>1</w:t>
            </w:r>
          </w:p>
        </w:tc>
        <w:tc>
          <w:tcPr>
            <w:tcW w:w="260" w:type="dxa"/>
            <w:vAlign w:val="bottom"/>
            <w:vMerge w:val="restart"/>
          </w:tcPr>
          <w:p>
            <w:pPr>
              <w:spacing w:after="0"/>
              <w:rPr>
                <w:sz w:val="18"/>
                <w:szCs w:val="18"/>
                <w:color w:val="auto"/>
              </w:rPr>
            </w:pPr>
          </w:p>
        </w:tc>
        <w:tc>
          <w:tcPr>
            <w:tcW w:w="1340" w:type="dxa"/>
            <w:vAlign w:val="bottom"/>
            <w:vMerge w:val="restart"/>
          </w:tcPr>
          <w:p>
            <w:pPr>
              <w:ind w:left="420"/>
              <w:spacing w:after="0"/>
              <w:rPr>
                <w:sz w:val="20"/>
                <w:szCs w:val="20"/>
                <w:color w:val="auto"/>
              </w:rPr>
            </w:pPr>
            <w:r>
              <w:rPr>
                <w:rFonts w:ascii="Arial" w:cs="Arial" w:eastAsia="Arial" w:hAnsi="Arial"/>
                <w:sz w:val="18"/>
                <w:szCs w:val="18"/>
                <w:color w:val="auto"/>
              </w:rPr>
              <w:t>Purity</w:t>
            </w:r>
            <w:r>
              <w:rPr>
                <w:rFonts w:ascii="Arial" w:cs="Arial" w:eastAsia="Arial" w:hAnsi="Arial"/>
                <w:sz w:val="30"/>
                <w:szCs w:val="30"/>
                <w:color w:val="auto"/>
                <w:vertAlign w:val="superscript"/>
              </w:rPr>
              <w:t>2</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Product/Formulation</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Technology</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none</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Impede® 1.0</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Tarex®</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Impede® 2.0</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760" w:hanging="104"/>
        <w:spacing w:after="0"/>
        <w:tabs>
          <w:tab w:leader="none" w:pos="76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Total methamphetamine HCl recovered from the equivalent of 100 PSE 30mg tablets divided by the maximum theoretical yield of 2.7 grams.</w:t>
      </w:r>
    </w:p>
    <w:p>
      <w:pPr>
        <w:spacing w:after="0" w:line="42" w:lineRule="exact"/>
        <w:rPr>
          <w:rFonts w:ascii="Arial" w:cs="Arial" w:eastAsia="Arial" w:hAnsi="Arial"/>
          <w:sz w:val="28"/>
          <w:szCs w:val="28"/>
          <w:color w:val="auto"/>
          <w:vertAlign w:val="superscript"/>
        </w:rPr>
      </w:pPr>
    </w:p>
    <w:p>
      <w:pPr>
        <w:ind w:left="660"/>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demonstrated in a pilot clinical study the bioequivalence of a formulation of our Nexafed extended release tablets utilizing our Impede 2.0 technology to Sudafed® 12-hour Tablets. We also are assessing the one-pot results of immediate-release Impede 2.0 formulations, along with manufacturability and other pertinent information to determine our strategy for introducing Impede 2.0 into our Nexafed product 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Nexafed product line consists of immediate release tablets which utilize our patented Impede 1.0 Technology. Nexafed is a 30mg pseudoephedrine tablet and Nexafed Sinus Pressure + Pain is a 30/325 mg pseudoephedrine and acetaminophen tablet.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jc w:val="both"/>
        <w:spacing w:after="0" w:line="273" w:lineRule="auto"/>
        <w:rPr>
          <w:sz w:val="20"/>
          <w:szCs w:val="20"/>
          <w:color w:val="auto"/>
        </w:rPr>
      </w:pPr>
      <w:r>
        <w:rPr>
          <w:rFonts w:ascii="Arial" w:cs="Arial" w:eastAsia="Arial" w:hAnsi="Arial"/>
          <w:sz w:val="17"/>
          <w:szCs w:val="17"/>
          <w:color w:val="auto"/>
        </w:rPr>
        <w:t>We have demonstrated that our Nexafed 30mg tablets is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We are capitalizing on this consumer-pharmacist interaction at the point of sale by soliciting distribution to pharmacies and educating and encouraging pharmacists to recommend Nexafed to their customers. We are using telemarketing, direct mail, and online and journal advertising to educate pharmacists about Nexafed and encourage pharmacists to recommend Nexafed to their customers.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launched Nexafed commercially in mid-December 2012 into the United States OTC market for cold and allergy products. We have built a distribution system of several regional and national drug wholesalers for redistribution to pharmacies which includes the three largest U.S. drug wholesalers: McKesson, Cardinal Health and AmerisourceBergen. We also ship directly to the warehouses of certain pharmacy chains. Nexafed is currently stocked in approximately 12,800 pharmacies of about 20%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are actively recommending Nexafed to their customers while some have replaced all 30mg PSE products, brand and generic, with Nexafed. Rite Aid, the nation’s fourth largest pharmacy operator, began purchasing Nexafed in late 2013. In late 2014, Kmart and Kroger initiated chain-wide stocking of Nexafed.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that approximately 53% of Nexafed stocking pharmacies are repeat customers, excluding Rite Aid and Kroger which purchase directly from us and we therefore do not have individual store data.</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2015, we began initial shipments of Nexafed Sinus Pressure + Pain. We are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are marketing our Nexafed product and our Nexafed Sinus Pressure + Pain product under FDA’s regulations applicable to OTC Monograph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Nexafed and Nexafed Sinus Pressure + Pain tablets are offered in 24-count blister packaged cartons.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developing additional products for our Nexafed franchise:</w:t>
      </w:r>
    </w:p>
    <w:p>
      <w:pPr>
        <w:sectPr>
          <w:pgSz w:w="11900" w:h="16838" w:orient="portrait"/>
          <w:cols w:equalWidth="0" w:num="1">
            <w:col w:w="11420"/>
          </w:cols>
          <w:pgMar w:left="240" w:top="881" w:right="239" w:bottom="1440" w:gutter="0" w:footer="0" w:header="0"/>
        </w:sectPr>
      </w:pPr>
    </w:p>
    <w:p>
      <w:pPr>
        <w:spacing w:after="0" w:line="170"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Impede Technology Product</w:t>
      </w:r>
    </w:p>
    <w:p>
      <w:pPr>
        <w:spacing w:after="0" w:line="23" w:lineRule="exact"/>
        <w:rPr>
          <w:sz w:val="20"/>
          <w:szCs w:val="20"/>
          <w:color w:val="auto"/>
        </w:rPr>
      </w:pPr>
    </w:p>
    <w:p>
      <w:pPr>
        <w:ind w:left="1140" w:right="40"/>
        <w:spacing w:after="0" w:line="307" w:lineRule="auto"/>
        <w:rPr>
          <w:sz w:val="20"/>
          <w:szCs w:val="20"/>
          <w:color w:val="auto"/>
        </w:rPr>
      </w:pPr>
      <w:r>
        <w:rPr>
          <w:rFonts w:ascii="Arial" w:cs="Arial" w:eastAsia="Arial" w:hAnsi="Arial"/>
          <w:sz w:val="17"/>
          <w:szCs w:val="17"/>
          <w:color w:val="auto"/>
        </w:rPr>
        <w:t>Immediate-release pseudoephedrine HCl in combination with other cold and allergy active ingredients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-316865</wp:posOffset>
            </wp:positionV>
            <wp:extent cx="28473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9" w:lineRule="exact"/>
        <w:rPr>
          <w:sz w:val="20"/>
          <w:szCs w:val="20"/>
          <w:color w:val="auto"/>
        </w:rPr>
      </w:pPr>
    </w:p>
    <w:p>
      <w:pPr>
        <w:ind w:left="1140"/>
        <w:spacing w:after="0" w:line="402" w:lineRule="auto"/>
        <w:rPr>
          <w:sz w:val="20"/>
          <w:szCs w:val="20"/>
          <w:color w:val="auto"/>
        </w:rPr>
      </w:pPr>
      <w:r>
        <w:rPr>
          <w:rFonts w:ascii="Arial" w:cs="Arial" w:eastAsia="Arial" w:hAnsi="Arial"/>
          <w:sz w:val="18"/>
          <w:szCs w:val="18"/>
          <w:color w:val="auto"/>
        </w:rPr>
        <w:t>Extended-release formulation utilizing Impede 2.0 technology Extended – release combination products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Status</w:t>
      </w:r>
    </w:p>
    <w:p>
      <w:pPr>
        <w:spacing w:after="0" w:line="23" w:lineRule="exact"/>
        <w:rPr>
          <w:sz w:val="20"/>
          <w:szCs w:val="20"/>
          <w:color w:val="auto"/>
        </w:rPr>
      </w:pPr>
    </w:p>
    <w:p>
      <w:pPr>
        <w:ind w:right="2700"/>
        <w:spacing w:after="0" w:line="310" w:lineRule="auto"/>
        <w:rPr>
          <w:sz w:val="20"/>
          <w:szCs w:val="20"/>
          <w:color w:val="auto"/>
        </w:rPr>
      </w:pPr>
      <w:r>
        <w:rPr>
          <w:rFonts w:ascii="Arial" w:cs="Arial" w:eastAsia="Arial" w:hAnsi="Arial"/>
          <w:sz w:val="15"/>
          <w:szCs w:val="15"/>
          <w:color w:val="auto"/>
        </w:rPr>
        <w:t>Nexafed Sinus Pressure + Pain launched Other formulations being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-282575</wp:posOffset>
            </wp:positionV>
            <wp:extent cx="2838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Pilot pharmacokinetic testing demonstrated bioequivalence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Sudafed® 12-hour Tablets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Formulations being considered</w:t>
      </w:r>
    </w:p>
    <w:p>
      <w:pPr>
        <w:spacing w:after="0" w:line="210" w:lineRule="exact"/>
        <w:rPr>
          <w:sz w:val="20"/>
          <w:szCs w:val="20"/>
          <w:color w:val="auto"/>
        </w:rPr>
      </w:pPr>
    </w:p>
    <w:p>
      <w:pPr>
        <w:sectPr>
          <w:pgSz w:w="11900" w:h="16838" w:orient="portrait"/>
          <w:cols w:equalWidth="0" w:num="2">
            <w:col w:w="5620" w:space="180"/>
            <w:col w:w="5620"/>
          </w:cols>
          <w:pgMar w:left="240" w:top="881" w:right="239" w:bottom="1440" w:gutter="0" w:footer="0" w:header="0"/>
          <w:type w:val="continuous"/>
        </w:sectPr>
      </w:pPr>
    </w:p>
    <w:p>
      <w:pPr>
        <w:ind w:right="20"/>
        <w:spacing w:after="0" w:line="308" w:lineRule="auto"/>
        <w:rPr>
          <w:sz w:val="20"/>
          <w:szCs w:val="20"/>
          <w:color w:val="auto"/>
        </w:rPr>
      </w:pPr>
      <w:r>
        <w:rPr>
          <w:rFonts w:ascii="Arial" w:cs="Arial" w:eastAsia="Arial" w:hAnsi="Arial"/>
          <w:sz w:val="17"/>
          <w:szCs w:val="17"/>
          <w:color w:val="auto"/>
        </w:rPr>
        <w:t>We currently expect to initiate a pre-IND meeting with the FDA to discuss the results from our pharmacokinetic and meth testing studies to determine the development path for our extended-release development product, which, we believe, will require and NDA or ANDA submission to the FDA.</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28" w:name="page29"/>
    <w:bookmarkEnd w:id="28"/>
    <w:p>
      <w:pPr>
        <w:jc w:val="both"/>
        <w:spacing w:after="0" w:line="276" w:lineRule="auto"/>
        <w:rPr>
          <w:sz w:val="20"/>
          <w:szCs w:val="20"/>
          <w:color w:val="auto"/>
        </w:rPr>
      </w:pPr>
      <w:r>
        <w:rPr>
          <w:rFonts w:ascii="Arial" w:cs="Arial" w:eastAsia="Arial" w:hAnsi="Arial"/>
          <w:sz w:val="17"/>
          <w:szCs w:val="17"/>
          <w:color w:val="auto"/>
        </w:rPr>
        <w:t>Our objective is to establish our own Nexafed franchise in the United States with multiple product offerings, including both immediate and extended release products utilizing both single and combinations of active ingredients. We aim to make meth-resistant PSE product the standard of care in all U.S. pharmacies. We will evaluate possible licensing of our Impede Technology with commercial partners. Within the United States, we may consider licenses with appropriate partners that can: (a) help advance our distribution network with the goal of making meth-resistant products the standard of care in all U.S. pharmacies, and/or (b) extend our internal development resources to develop difficult to formulate products, such as extended-release.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40" w:type="dxa"/>
            <w:vAlign w:val="bottom"/>
            <w:vMerge w:val="restart"/>
          </w:tcPr>
          <w:p>
            <w:pPr>
              <w:ind w:left="1260"/>
              <w:spacing w:after="0"/>
              <w:rPr>
                <w:sz w:val="20"/>
                <w:szCs w:val="20"/>
                <w:color w:val="auto"/>
              </w:rPr>
            </w:pPr>
            <w:r>
              <w:rPr>
                <w:rFonts w:ascii="Arial" w:cs="Arial" w:eastAsia="Arial" w:hAnsi="Arial"/>
                <w:sz w:val="18"/>
                <w:szCs w:val="18"/>
                <w:color w:val="auto"/>
              </w:rPr>
              <w:t>Reference Brand</w:t>
            </w:r>
            <w:r>
              <w:rPr>
                <w:rFonts w:ascii="Arial" w:cs="Arial" w:eastAsia="Arial" w:hAnsi="Arial"/>
                <w:sz w:val="30"/>
                <w:szCs w:val="30"/>
                <w:color w:val="auto"/>
                <w:vertAlign w:val="superscript"/>
              </w:rPr>
              <w:t>1</w:t>
            </w:r>
          </w:p>
        </w:tc>
        <w:tc>
          <w:tcPr>
            <w:tcW w:w="8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ind w:left="880"/>
              <w:spacing w:after="0"/>
              <w:rPr>
                <w:sz w:val="20"/>
                <w:szCs w:val="20"/>
                <w:color w:val="auto"/>
              </w:rPr>
            </w:pPr>
            <w:r>
              <w:rPr>
                <w:rFonts w:ascii="Arial" w:cs="Arial" w:eastAsia="Arial" w:hAnsi="Arial"/>
                <w:sz w:val="18"/>
                <w:szCs w:val="18"/>
                <w:color w:val="auto"/>
              </w:rPr>
              <w:t>Active</w:t>
            </w:r>
          </w:p>
        </w:tc>
        <w:tc>
          <w:tcPr>
            <w:tcW w:w="8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2014 Retail Sales</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Brand Company</w:t>
            </w:r>
          </w:p>
        </w:tc>
        <w:tc>
          <w:tcPr>
            <w:tcW w:w="100" w:type="dxa"/>
            <w:vAlign w:val="bottom"/>
            <w:tcBorders>
              <w:bottom w:val="single" w:sz="8" w:color="CCEEFF"/>
            </w:tcBorders>
          </w:tcPr>
          <w:p>
            <w:pPr>
              <w:spacing w:after="0"/>
              <w:rPr>
                <w:sz w:val="20"/>
                <w:szCs w:val="20"/>
                <w:color w:val="auto"/>
              </w:rPr>
            </w:pPr>
          </w:p>
        </w:tc>
        <w:tc>
          <w:tcPr>
            <w:tcW w:w="22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Ingredient(s)</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Millions)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Claritin-D</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Bayer</w:t>
            </w:r>
          </w:p>
        </w:tc>
        <w:tc>
          <w:tcPr>
            <w:tcW w:w="22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57"/>
        </w:trPr>
        <w:tc>
          <w:tcPr>
            <w:tcW w:w="3920" w:type="dxa"/>
            <w:vAlign w:val="bottom"/>
            <w:gridSpan w:val="2"/>
          </w:tcPr>
          <w:p>
            <w:pPr>
              <w:spacing w:after="0"/>
              <w:rPr>
                <w:sz w:val="20"/>
                <w:szCs w:val="20"/>
                <w:color w:val="auto"/>
              </w:rPr>
            </w:pPr>
            <w:r>
              <w:rPr>
                <w:rFonts w:ascii="Arial" w:cs="Arial" w:eastAsia="Arial" w:hAnsi="Arial"/>
                <w:sz w:val="18"/>
                <w:szCs w:val="18"/>
                <w:color w:val="auto"/>
              </w:rPr>
              <w:t>Allegra-D</w:t>
            </w:r>
          </w:p>
        </w:tc>
        <w:tc>
          <w:tcPr>
            <w:tcW w:w="1600" w:type="dxa"/>
            <w:vAlign w:val="bottom"/>
            <w:gridSpan w:val="2"/>
          </w:tcPr>
          <w:p>
            <w:pPr>
              <w:spacing w:after="0"/>
              <w:rPr>
                <w:sz w:val="20"/>
                <w:szCs w:val="20"/>
                <w:color w:val="auto"/>
              </w:rPr>
            </w:pPr>
            <w:r>
              <w:rPr>
                <w:rFonts w:ascii="Arial" w:cs="Arial" w:eastAsia="Arial" w:hAnsi="Arial"/>
                <w:sz w:val="18"/>
                <w:szCs w:val="18"/>
                <w:color w:val="auto"/>
              </w:rPr>
              <w:t>Chattem</w:t>
            </w:r>
          </w:p>
        </w:tc>
        <w:tc>
          <w:tcPr>
            <w:tcW w:w="2260" w:type="dxa"/>
            <w:vAlign w:val="bottom"/>
          </w:tcPr>
          <w:p>
            <w:pPr>
              <w:spacing w:after="0" w:line="256"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29"/>
                <w:szCs w:val="29"/>
                <w:color w:val="auto"/>
                <w:vertAlign w:val="superscript"/>
              </w:rPr>
              <w:t>2</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57"/>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Zyrtec-D</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Pfizer</w:t>
            </w:r>
          </w:p>
        </w:tc>
        <w:tc>
          <w:tcPr>
            <w:tcW w:w="22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Advil Sinus</w:t>
            </w:r>
          </w:p>
        </w:tc>
        <w:tc>
          <w:tcPr>
            <w:tcW w:w="1600" w:type="dxa"/>
            <w:vAlign w:val="bottom"/>
            <w:gridSpan w:val="2"/>
          </w:tcPr>
          <w:p>
            <w:pPr>
              <w:spacing w:after="0"/>
              <w:rPr>
                <w:sz w:val="20"/>
                <w:szCs w:val="20"/>
                <w:color w:val="auto"/>
              </w:rPr>
            </w:pPr>
            <w:r>
              <w:rPr>
                <w:rFonts w:ascii="Arial" w:cs="Arial" w:eastAsia="Arial" w:hAnsi="Arial"/>
                <w:sz w:val="18"/>
                <w:szCs w:val="18"/>
                <w:color w:val="auto"/>
              </w:rPr>
              <w:t>Pfizer</w:t>
            </w:r>
          </w:p>
        </w:tc>
        <w:tc>
          <w:tcPr>
            <w:tcW w:w="2260" w:type="dxa"/>
            <w:vAlign w:val="bottom"/>
          </w:tcPr>
          <w:p>
            <w:pPr>
              <w:spacing w:after="0"/>
              <w:rPr>
                <w:sz w:val="20"/>
                <w:szCs w:val="20"/>
                <w:color w:val="auto"/>
              </w:rPr>
            </w:pPr>
            <w:r>
              <w:rPr>
                <w:rFonts w:ascii="Arial" w:cs="Arial" w:eastAsia="Arial" w:hAnsi="Arial"/>
                <w:sz w:val="18"/>
                <w:szCs w:val="18"/>
                <w:color w:val="auto"/>
              </w:rPr>
              <w:t>PSE &amp; Ibuprofen</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7"/>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J&amp;J</w:t>
            </w:r>
          </w:p>
        </w:tc>
        <w:tc>
          <w:tcPr>
            <w:tcW w:w="22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Sudafed 30mg</w:t>
            </w:r>
          </w:p>
        </w:tc>
        <w:tc>
          <w:tcPr>
            <w:tcW w:w="1600" w:type="dxa"/>
            <w:vAlign w:val="bottom"/>
            <w:gridSpan w:val="2"/>
          </w:tcPr>
          <w:p>
            <w:pPr>
              <w:spacing w:after="0"/>
              <w:rPr>
                <w:sz w:val="20"/>
                <w:szCs w:val="20"/>
                <w:color w:val="auto"/>
              </w:rPr>
            </w:pPr>
            <w:r>
              <w:rPr>
                <w:rFonts w:ascii="Arial" w:cs="Arial" w:eastAsia="Arial" w:hAnsi="Arial"/>
                <w:sz w:val="18"/>
                <w:szCs w:val="18"/>
                <w:color w:val="auto"/>
              </w:rPr>
              <w:t>J&amp;J</w:t>
            </w:r>
          </w:p>
        </w:tc>
        <w:tc>
          <w:tcPr>
            <w:tcW w:w="2260" w:type="dxa"/>
            <w:vAlign w:val="bottom"/>
          </w:tcPr>
          <w:p>
            <w:pPr>
              <w:spacing w:after="0"/>
              <w:rPr>
                <w:sz w:val="20"/>
                <w:szCs w:val="20"/>
                <w:color w:val="auto"/>
              </w:rPr>
            </w:pPr>
            <w:r>
              <w:rPr>
                <w:rFonts w:ascii="Arial" w:cs="Arial" w:eastAsia="Arial" w:hAnsi="Arial"/>
                <w:sz w:val="18"/>
                <w:szCs w:val="18"/>
                <w:color w:val="auto"/>
              </w:rPr>
              <w:t>PSE</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780" w:hanging="124"/>
        <w:spacing w:after="0"/>
        <w:tabs>
          <w:tab w:leader="none" w:pos="78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Branded product only. Does not include store brand sales.</w:t>
      </w:r>
    </w:p>
    <w:p>
      <w:pPr>
        <w:spacing w:after="0" w:line="42" w:lineRule="exact"/>
        <w:rPr>
          <w:rFonts w:ascii="Arial" w:cs="Arial" w:eastAsia="Arial" w:hAnsi="Arial"/>
          <w:sz w:val="30"/>
          <w:szCs w:val="30"/>
          <w:color w:val="auto"/>
          <w:vertAlign w:val="superscript"/>
        </w:rPr>
      </w:pPr>
    </w:p>
    <w:p>
      <w:pPr>
        <w:ind w:left="660"/>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Nexafed is currently priced at $3.99 for a box of 24 tablets and Nexafed Sinus Pressure + Pain is currently priced at $7.50 for a box of 24 tablets.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marketing our Nexafed and Nexafed Sinus Pressure + Pain products pursuant to the FDA’s OTC Monograph regulations, which require that our product have labeling as specified in the regulations. We are advertising the extraction characteristics and methamphetamine-resistant benefits of our Nexafed products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Limitx™ technology is an early stage technology intended to address abuse by excess oral consumption of multiple tablets and provide a margin of safety during accidental over-ingestion of tablets. In proof of concept laboratory tests, Limitx™ tablets demonstrated the ability to limit the release of the active ingredient from tablets when multiple tablets are simultaneously introduced into simulated gastric fluid. Using .055N HCl dissolution bath, a single Limitx tablet released most of its active ingredient within 15 minutes while eight Limitx tablets in the same bath released the equivalent of one tablet’s active ingredient in 15 minutes. Eight immediate-release tablets of a marketed product comparator released most of its active ingredient in 15 minutes compared with over 2 hours for the eight Limitx tablets.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FDA’s 2015 Guidance singles out immediate-release combination products with acetaminophen as being predominately abused by the oral route and that reducing nasal snorting of these products may not be meaningful. The initial Limitx™ formulation utilizes hydromorphone as its sole active ingredient. We intend to initiate formulation development of a hydrocodone/APAP product candidate utilizing our Limitx technology upon the conclusion of formulation optimization for our Limitx hydromorphone product. We have patent applications pending with the USPTO covering our Limitx™ technology.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Development of our Limitx technology is being supported by a $300,000 grant (the “Grant”) by the National Institute on Drug Abuse (“NIDA”) of the National Institutes of Health. Phase I of development is to create an optimized formulation of our hydromorphone product candidate that can be commercially manufactured and is suitable for human testing. In Phase I, we will be developing a formulation and manufacturing process that mimics, at research scale batches, commercial manufacturing scale equipment and test and evaluate the tablets in our proof of concept dissolution apparatus. We have successfully manufactured small scale batches of the key micro-particle at our Culver facility but believe the manufacturing process used will not be scalable for commercial batches. We have tested and have completed the installation of new equipment for use in this process.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Phase II, we will perform human pharmacokinetic testing of our hydromorphone product candidate to characterize the release of drug in vivo. NIDA funding of Phase II development, for which an application has already been submitted, will be contingent upon (1) assessment by NIDA of the Phase I progress report and its determination that the Phase I milestones were achieved, (2) review and approval of other documents necessary for continuation, and (3) availability of funds. No assurance can be given that Phase II development funding will be provided by NIDA.</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Phase I research on the Company’s hydromorphone tablet utilizing Limitx™ technology is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April 9, 2015, we announced the indefinite suspension of further development of our Aversion hydrocodone/APAP product candidate. We currently have 6 additional opioids at various stages of formulation development using the Aversion technology which are not being actively developed. We intended to focus our Aversion technology development efforts on the relaunch of Oxaydo and the development of potential line extension of Oxaydo at Egalet’s request.</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development of some or all of our Aversion product candidates is re-commenced, each will require an abuse deterrent study consistent with FDA’s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Aversion products to currently marketed products. Because our products use known active ingredients in approved dosage strengths, the safety and efficacy of the Aversion opioid will need to be established by a series of pharmacokinetic studies demonstrating: (a) bioequivalence to an approved reference drug, (b) food effect of our formulations, and (c) dose proportionality of our formulation.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both"/>
        <w:spacing w:after="0" w:line="286" w:lineRule="auto"/>
        <w:rPr>
          <w:sz w:val="20"/>
          <w:szCs w:val="20"/>
          <w:color w:val="auto"/>
        </w:rPr>
      </w:pPr>
      <w:r>
        <w:rPr>
          <w:rFonts w:ascii="Arial" w:cs="Arial" w:eastAsia="Arial" w:hAnsi="Arial"/>
          <w:sz w:val="17"/>
          <w:szCs w:val="17"/>
          <w:color w:val="auto"/>
        </w:rPr>
        <w:t>Further development will likely also entail additional safety and/or efficacy assessment as may be identified by the FDA for each specific formulation during the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we will re-commence development of our Aversion candidates or if re-commenced, that we will receive FDA approval for any of such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misuse and abuse of controlled prescription drugs (CPDs) in general, and opioid analgesics in particular, continues to constitute a dynamic and challenging threat to the United States and is the nation’s fastest growing drug problem. Results from the 2013 National Drug Threat Assessment conducted by the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 between 2006 and 2010. Immediate release, or IR, opioid products comprise the vast majority of this abuse compared with extended release, or ER, opioid products.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250 million tablet and capsule prescriptions dispensed in 2014 of which approximately 235 million were for IR opioid products and 15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65 tablets or capsules. According to IMS Health, in 2014, sales in the IR opioid product segment were approximately $3.0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2014 is provided below:</w:t>
      </w:r>
    </w:p>
    <w:p>
      <w:pPr>
        <w:spacing w:after="0" w:line="193"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2014 US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Prescriptions</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67"/>
        </w:trPr>
        <w:tc>
          <w:tcPr>
            <w:tcW w:w="20" w:type="dxa"/>
            <w:vAlign w:val="bottom"/>
          </w:tcPr>
          <w:p>
            <w:pPr>
              <w:spacing w:after="0"/>
              <w:rPr>
                <w:sz w:val="23"/>
                <w:szCs w:val="23"/>
                <w:color w:val="auto"/>
              </w:rPr>
            </w:pPr>
          </w:p>
        </w:tc>
        <w:tc>
          <w:tcPr>
            <w:tcW w:w="3240" w:type="dxa"/>
            <w:vAlign w:val="bottom"/>
            <w:tcBorders>
              <w:bottom w:val="single" w:sz="8" w:color="auto"/>
            </w:tcBorders>
          </w:tcPr>
          <w:p>
            <w:pPr>
              <w:ind w:left="820"/>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4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93"/>
              </w:rPr>
              <w:t>(Millions)</w:t>
            </w:r>
            <w:r>
              <w:rPr>
                <w:rFonts w:ascii="Arial" w:cs="Arial" w:eastAsia="Arial" w:hAnsi="Arial"/>
                <w:sz w:val="30"/>
                <w:szCs w:val="30"/>
                <w:color w:val="auto"/>
                <w:w w:val="93"/>
                <w:vertAlign w:val="superscript"/>
              </w:rPr>
              <w:t>(2)</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of Total</w:t>
            </w:r>
          </w:p>
        </w:tc>
        <w:tc>
          <w:tcPr>
            <w:tcW w:w="180" w:type="dxa"/>
            <w:vAlign w:val="bottom"/>
            <w:tcBorders>
              <w:bottom w:val="single" w:sz="8" w:color="CCEEFF"/>
            </w:tcBorders>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Hydrocodone</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Oxycodone</w:t>
            </w: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Tramadol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Codeine</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Others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20"/>
                <w:szCs w:val="20"/>
                <w:color w:val="auto"/>
              </w:rPr>
            </w:pPr>
          </w:p>
        </w:tc>
        <w:tc>
          <w:tcPr>
            <w:tcW w:w="328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46" w:lineRule="exact"/>
        <w:rPr>
          <w:sz w:val="20"/>
          <w:szCs w:val="20"/>
          <w:color w:val="auto"/>
        </w:rPr>
      </w:pPr>
    </w:p>
    <w:p>
      <w:pPr>
        <w:ind w:left="2360" w:hanging="116"/>
        <w:spacing w:after="0"/>
        <w:tabs>
          <w:tab w:leader="none" w:pos="236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Includes all salts and esters of the opioid and opioids in combination with other active ingredients such as acetaminophen.</w:t>
      </w:r>
    </w:p>
    <w:p>
      <w:pPr>
        <w:spacing w:after="0" w:line="42" w:lineRule="exact"/>
        <w:rPr>
          <w:rFonts w:ascii="Arial" w:cs="Arial" w:eastAsia="Arial" w:hAnsi="Arial"/>
          <w:sz w:val="26"/>
          <w:szCs w:val="26"/>
          <w:color w:val="auto"/>
          <w:vertAlign w:val="superscript"/>
        </w:rPr>
      </w:pPr>
    </w:p>
    <w:p>
      <w:pPr>
        <w:ind w:left="2240"/>
        <w:spacing w:after="0" w:line="234" w:lineRule="auto"/>
        <w:rPr>
          <w:rFonts w:ascii="Arial" w:cs="Arial" w:eastAsia="Arial" w:hAnsi="Arial"/>
          <w:sz w:val="26"/>
          <w:szCs w:val="26"/>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IMS Health, 2014</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 We estimate 60-95% of the 37 million lifetime U.S. opioid abusers have engaged in the non-medical use of the active ingredients in our IR opioid product candidates. As indicated in the following chart, the top five abused opioid products are available only as IR opioid products.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Product Labeling for Abuse-Deterrent Opioid Products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We have committed to the FDA to undertake epidemiological studies to assess the actual consequences of abuse of Oxaydo in the market.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r>
              <w:rPr>
                <w:rFonts w:ascii="Arial" w:cs="Arial" w:eastAsia="Arial" w:hAnsi="Arial"/>
                <w:sz w:val="18"/>
                <w:szCs w:val="18"/>
                <w:color w:val="auto"/>
              </w:rPr>
              <w:t>Patent No. (Jurisdiction)</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Subject Matter</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Issued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202"/>
        </w:trPr>
        <w:tc>
          <w:tcPr>
            <w:tcW w:w="25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7,201,902 (US)</w:t>
            </w:r>
          </w:p>
        </w:tc>
        <w:tc>
          <w:tcPr>
            <w:tcW w:w="220" w:type="dxa"/>
            <w:vAlign w:val="bottom"/>
            <w:tcBorders>
              <w:top w:val="single" w:sz="8" w:color="CCEEFF"/>
            </w:tcBorders>
            <w:shd w:val="clear" w:color="auto" w:fill="CCEEFF"/>
          </w:tcPr>
          <w:p>
            <w:pPr>
              <w:spacing w:after="0"/>
              <w:rPr>
                <w:sz w:val="17"/>
                <w:szCs w:val="17"/>
                <w:color w:val="auto"/>
              </w:rPr>
            </w:pPr>
          </w:p>
        </w:tc>
        <w:tc>
          <w:tcPr>
            <w:tcW w:w="50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Pharmaceutical  compositions  including  a  mixture  of  functional</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Apr. 2007</w:t>
            </w:r>
          </w:p>
        </w:tc>
        <w:tc>
          <w:tcPr>
            <w:tcW w:w="2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Mar. 2025</w:t>
            </w:r>
          </w:p>
        </w:tc>
      </w:tr>
      <w:tr>
        <w:trPr>
          <w:trHeight w:val="230"/>
        </w:trPr>
        <w:tc>
          <w:tcPr>
            <w:tcW w:w="2520" w:type="dxa"/>
            <w:vAlign w:val="bottom"/>
            <w:shd w:val="clear" w:color="auto" w:fill="CCEEFF"/>
          </w:tcPr>
          <w:p>
            <w:pPr>
              <w:spacing w:after="0"/>
              <w:rPr>
                <w:sz w:val="20"/>
                <w:szCs w:val="20"/>
                <w:color w:val="auto"/>
              </w:rPr>
            </w:pPr>
          </w:p>
        </w:tc>
        <w:tc>
          <w:tcPr>
            <w:tcW w:w="5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inactive ingredients and specific opioid analgesics</w:t>
            </w:r>
          </w:p>
        </w:tc>
        <w:tc>
          <w:tcPr>
            <w:tcW w:w="1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7,510,726 (US)</w:t>
            </w:r>
          </w:p>
        </w:tc>
        <w:tc>
          <w:tcPr>
            <w:tcW w:w="5480" w:type="dxa"/>
            <w:vAlign w:val="bottom"/>
            <w:gridSpan w:val="3"/>
          </w:tcPr>
          <w:p>
            <w:pPr>
              <w:ind w:left="220"/>
              <w:spacing w:after="0" w:line="201" w:lineRule="exact"/>
              <w:rPr>
                <w:sz w:val="20"/>
                <w:szCs w:val="20"/>
                <w:color w:val="auto"/>
              </w:rPr>
            </w:pPr>
            <w:r>
              <w:rPr>
                <w:rFonts w:ascii="Arial" w:cs="Arial" w:eastAsia="Arial" w:hAnsi="Arial"/>
                <w:sz w:val="18"/>
                <w:szCs w:val="18"/>
                <w:color w:val="auto"/>
                <w:w w:val="95"/>
              </w:rPr>
              <w:t>A wider range of compositions than those described in the 7,201,920</w:t>
            </w:r>
          </w:p>
        </w:tc>
        <w:tc>
          <w:tcPr>
            <w:tcW w:w="17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Mar. 2009</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2023</w:t>
            </w:r>
          </w:p>
        </w:tc>
      </w:tr>
      <w:tr>
        <w:trPr>
          <w:trHeight w:val="230"/>
        </w:trPr>
        <w:tc>
          <w:tcPr>
            <w:tcW w:w="2520" w:type="dxa"/>
            <w:vAlign w:val="bottom"/>
          </w:tcPr>
          <w:p>
            <w:pPr>
              <w:spacing w:after="0"/>
              <w:rPr>
                <w:sz w:val="20"/>
                <w:szCs w:val="20"/>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Patent</w:t>
            </w: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7,981,439 (US)</w:t>
            </w:r>
          </w:p>
        </w:tc>
        <w:tc>
          <w:tcPr>
            <w:tcW w:w="54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Pharmaceutical  compositions  including  any  water  soluble  drug</w:t>
            </w:r>
          </w:p>
        </w:tc>
        <w:tc>
          <w:tcPr>
            <w:tcW w:w="17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Jul. 2011</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Aug. 2024</w:t>
            </w:r>
          </w:p>
        </w:tc>
      </w:tr>
      <w:tr>
        <w:trPr>
          <w:trHeight w:val="230"/>
        </w:trPr>
        <w:tc>
          <w:tcPr>
            <w:tcW w:w="2520" w:type="dxa"/>
            <w:vAlign w:val="bottom"/>
            <w:shd w:val="clear" w:color="auto" w:fill="CCEEFF"/>
          </w:tcPr>
          <w:p>
            <w:pPr>
              <w:spacing w:after="0"/>
              <w:rPr>
                <w:sz w:val="20"/>
                <w:szCs w:val="20"/>
                <w:color w:val="auto"/>
              </w:rPr>
            </w:pPr>
          </w:p>
        </w:tc>
        <w:tc>
          <w:tcPr>
            <w:tcW w:w="5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susceptible to abuse</w:t>
            </w:r>
          </w:p>
        </w:tc>
        <w:tc>
          <w:tcPr>
            <w:tcW w:w="1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8,409,616 (US)</w:t>
            </w:r>
          </w:p>
        </w:tc>
        <w:tc>
          <w:tcPr>
            <w:tcW w:w="5480" w:type="dxa"/>
            <w:vAlign w:val="bottom"/>
            <w:gridSpan w:val="3"/>
          </w:tcPr>
          <w:p>
            <w:pPr>
              <w:ind w:left="220"/>
              <w:spacing w:after="0" w:line="201" w:lineRule="exact"/>
              <w:rPr>
                <w:sz w:val="20"/>
                <w:szCs w:val="20"/>
                <w:color w:val="auto"/>
              </w:rPr>
            </w:pPr>
            <w:r>
              <w:rPr>
                <w:rFonts w:ascii="Arial" w:cs="Arial" w:eastAsia="Arial" w:hAnsi="Arial"/>
                <w:sz w:val="18"/>
                <w:szCs w:val="18"/>
                <w:color w:val="auto"/>
                <w:w w:val="97"/>
              </w:rPr>
              <w:t>Pharmaceutical compositions of immediate-release abuse deterrent</w:t>
            </w:r>
          </w:p>
        </w:tc>
        <w:tc>
          <w:tcPr>
            <w:tcW w:w="17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Apr. 2013</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2023</w:t>
            </w:r>
          </w:p>
        </w:tc>
      </w:tr>
      <w:tr>
        <w:trPr>
          <w:trHeight w:val="230"/>
        </w:trPr>
        <w:tc>
          <w:tcPr>
            <w:tcW w:w="2520" w:type="dxa"/>
            <w:vAlign w:val="bottom"/>
          </w:tcPr>
          <w:p>
            <w:pPr>
              <w:spacing w:after="0"/>
              <w:rPr>
                <w:sz w:val="20"/>
                <w:szCs w:val="20"/>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dosage forms</w:t>
            </w: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8,637,540 (US)</w:t>
            </w:r>
          </w:p>
        </w:tc>
        <w:tc>
          <w:tcPr>
            <w:tcW w:w="54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Pharmaceutical compositions of immediate-release abuse deterrent</w:t>
            </w:r>
          </w:p>
        </w:tc>
        <w:tc>
          <w:tcPr>
            <w:tcW w:w="17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8"/>
              </w:rPr>
              <w:t>Jan. 2014</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Nov. 2023</w:t>
            </w:r>
          </w:p>
        </w:tc>
      </w:tr>
      <w:tr>
        <w:trPr>
          <w:trHeight w:val="230"/>
        </w:trPr>
        <w:tc>
          <w:tcPr>
            <w:tcW w:w="2520" w:type="dxa"/>
            <w:vAlign w:val="bottom"/>
            <w:shd w:val="clear" w:color="auto" w:fill="CCEEFF"/>
          </w:tcPr>
          <w:p>
            <w:pPr>
              <w:spacing w:after="0"/>
              <w:rPr>
                <w:sz w:val="20"/>
                <w:szCs w:val="20"/>
                <w:color w:val="auto"/>
              </w:rPr>
            </w:pPr>
          </w:p>
        </w:tc>
        <w:tc>
          <w:tcPr>
            <w:tcW w:w="5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opioid products</w:t>
            </w:r>
          </w:p>
        </w:tc>
        <w:tc>
          <w:tcPr>
            <w:tcW w:w="1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648"/>
        </w:trPr>
        <w:tc>
          <w:tcPr>
            <w:tcW w:w="25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jc w:val="right"/>
              <w:ind w:right="189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We have the following issued patents related to our Aversion technology: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gridSpan w:val="2"/>
          </w:tcPr>
          <w:p>
            <w:pPr>
              <w:spacing w:after="0"/>
              <w:rPr>
                <w:sz w:val="20"/>
                <w:szCs w:val="20"/>
                <w:color w:val="auto"/>
              </w:rPr>
            </w:pPr>
            <w:r>
              <w:rPr>
                <w:rFonts w:ascii="Arial" w:cs="Arial" w:eastAsia="Arial" w:hAnsi="Arial"/>
                <w:sz w:val="18"/>
                <w:szCs w:val="18"/>
                <w:color w:val="auto"/>
              </w:rPr>
              <w:t>Patent No. (Jurisdiction)</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Subject Matter</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Issued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202"/>
        </w:trPr>
        <w:tc>
          <w:tcPr>
            <w:tcW w:w="7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7,476,402</w:t>
            </w:r>
          </w:p>
        </w:tc>
        <w:tc>
          <w:tcPr>
            <w:tcW w:w="176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(US)</w:t>
            </w:r>
          </w:p>
        </w:tc>
        <w:tc>
          <w:tcPr>
            <w:tcW w:w="220" w:type="dxa"/>
            <w:vAlign w:val="bottom"/>
            <w:tcBorders>
              <w:top w:val="single" w:sz="8" w:color="CCEEFF"/>
            </w:tcBorders>
            <w:shd w:val="clear" w:color="auto" w:fill="CCEEFF"/>
          </w:tcPr>
          <w:p>
            <w:pPr>
              <w:spacing w:after="0"/>
              <w:rPr>
                <w:sz w:val="17"/>
                <w:szCs w:val="17"/>
                <w:color w:val="auto"/>
              </w:rPr>
            </w:pPr>
          </w:p>
        </w:tc>
        <w:tc>
          <w:tcPr>
            <w:tcW w:w="50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4"/>
              </w:rPr>
              <w:t>Pharmaceutical compositions of certain combinations of kappa and</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Jan. 2009</w:t>
            </w:r>
          </w:p>
        </w:tc>
        <w:tc>
          <w:tcPr>
            <w:tcW w:w="2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Nov. 2023</w:t>
            </w:r>
          </w:p>
        </w:tc>
      </w:tr>
      <w:tr>
        <w:trPr>
          <w:trHeight w:val="216"/>
        </w:trPr>
        <w:tc>
          <w:tcPr>
            <w:tcW w:w="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7"/>
              </w:rPr>
              <w:t>mu opioid receptor agonists and other ingredients intended to deter</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7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5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opioid analgesic product misuse and abuse</w:t>
            </w:r>
          </w:p>
        </w:tc>
        <w:tc>
          <w:tcPr>
            <w:tcW w:w="1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8,822,489</w:t>
            </w:r>
          </w:p>
        </w:tc>
        <w:tc>
          <w:tcPr>
            <w:tcW w:w="1760" w:type="dxa"/>
            <w:vAlign w:val="bottom"/>
          </w:tcPr>
          <w:p>
            <w:pPr>
              <w:ind w:left="20"/>
              <w:spacing w:after="0" w:line="201" w:lineRule="exact"/>
              <w:rPr>
                <w:sz w:val="20"/>
                <w:szCs w:val="20"/>
                <w:color w:val="auto"/>
              </w:rPr>
            </w:pPr>
            <w:r>
              <w:rPr>
                <w:rFonts w:ascii="Arial" w:cs="Arial" w:eastAsia="Arial" w:hAnsi="Arial"/>
                <w:sz w:val="18"/>
                <w:szCs w:val="18"/>
                <w:color w:val="auto"/>
              </w:rPr>
              <w:t>(US)</w:t>
            </w:r>
          </w:p>
        </w:tc>
        <w:tc>
          <w:tcPr>
            <w:tcW w:w="5480" w:type="dxa"/>
            <w:vAlign w:val="bottom"/>
            <w:gridSpan w:val="3"/>
          </w:tcPr>
          <w:p>
            <w:pPr>
              <w:ind w:left="220"/>
              <w:spacing w:after="0" w:line="201" w:lineRule="exact"/>
              <w:rPr>
                <w:sz w:val="20"/>
                <w:szCs w:val="20"/>
                <w:color w:val="auto"/>
              </w:rPr>
            </w:pPr>
            <w:r>
              <w:rPr>
                <w:rFonts w:ascii="Arial" w:cs="Arial" w:eastAsia="Arial" w:hAnsi="Arial"/>
                <w:sz w:val="18"/>
                <w:szCs w:val="18"/>
                <w:color w:val="auto"/>
                <w:w w:val="94"/>
              </w:rPr>
              <w:t>Pharmaceutical compositions of certain abuse deterrent products that</w:t>
            </w:r>
          </w:p>
        </w:tc>
        <w:tc>
          <w:tcPr>
            <w:tcW w:w="17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Jul. 2014</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2023</w:t>
            </w:r>
          </w:p>
        </w:tc>
      </w:tr>
      <w:tr>
        <w:trPr>
          <w:trHeight w:val="230"/>
        </w:trPr>
        <w:tc>
          <w:tcPr>
            <w:tcW w:w="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contain polymers, surfactant and polysorb 80</w:t>
            </w: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2004294953 (AUS)</w:t>
            </w:r>
          </w:p>
        </w:tc>
        <w:tc>
          <w:tcPr>
            <w:tcW w:w="5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Abuse deterrent pharmaceuticals</w:t>
            </w: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Apr. 2010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2010200979 (AUS)</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Abuse deterrent pharmaceuticals</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2,547,334</w:t>
            </w: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w:t>
            </w:r>
          </w:p>
        </w:tc>
        <w:tc>
          <w:tcPr>
            <w:tcW w:w="5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Abuse deterrent pharmaceuticals</w:t>
            </w: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Aug. 2010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2"/>
              </w:rPr>
              <w:t>2,647,360</w:t>
            </w:r>
          </w:p>
        </w:tc>
        <w:tc>
          <w:tcPr>
            <w:tcW w:w="1760" w:type="dxa"/>
            <w:vAlign w:val="bottom"/>
          </w:tcPr>
          <w:p>
            <w:pPr>
              <w:ind w:left="20"/>
              <w:spacing w:after="0"/>
              <w:rPr>
                <w:sz w:val="20"/>
                <w:szCs w:val="20"/>
                <w:color w:val="auto"/>
              </w:rPr>
            </w:pPr>
            <w:r>
              <w:rPr>
                <w:rFonts w:ascii="Arial" w:cs="Arial" w:eastAsia="Arial" w:hAnsi="Arial"/>
                <w:sz w:val="18"/>
                <w:szCs w:val="18"/>
                <w:color w:val="auto"/>
              </w:rPr>
              <w:t>(CAN)</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Abuse deterrent pharmaceuticals</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2012</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Apr. 2027</w:t>
            </w: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175863 (ISR)</w:t>
            </w:r>
          </w:p>
        </w:tc>
        <w:tc>
          <w:tcPr>
            <w:tcW w:w="5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Abuse deterrent pharmaceuticals</w:t>
            </w:r>
          </w:p>
        </w:tc>
        <w:tc>
          <w:tcPr>
            <w:tcW w:w="1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Nov. 2004</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221018 (ISR)</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Abuse deterrent pharmaceuticals</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2004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 covering, among other things, our Nexafed product line and Impede 1.0 and 2.0 technologies: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r>
              <w:rPr>
                <w:rFonts w:ascii="Arial" w:cs="Arial" w:eastAsia="Arial" w:hAnsi="Arial"/>
                <w:sz w:val="18"/>
                <w:szCs w:val="18"/>
                <w:color w:val="auto"/>
              </w:rPr>
              <w:t>Patent No. (Jurisdiction)</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Subject Matter</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Issued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202"/>
        </w:trPr>
        <w:tc>
          <w:tcPr>
            <w:tcW w:w="25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8,901,113 (US)</w:t>
            </w:r>
          </w:p>
        </w:tc>
        <w:tc>
          <w:tcPr>
            <w:tcW w:w="220" w:type="dxa"/>
            <w:vAlign w:val="bottom"/>
            <w:tcBorders>
              <w:top w:val="single" w:sz="8" w:color="CCEEFF"/>
            </w:tcBorders>
            <w:shd w:val="clear" w:color="auto" w:fill="CCEEFF"/>
          </w:tcPr>
          <w:p>
            <w:pPr>
              <w:spacing w:after="0"/>
              <w:rPr>
                <w:sz w:val="17"/>
                <w:szCs w:val="17"/>
                <w:color w:val="auto"/>
              </w:rPr>
            </w:pPr>
          </w:p>
        </w:tc>
        <w:tc>
          <w:tcPr>
            <w:tcW w:w="50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Pharmaceutical compositions suitable for reducing the chemical</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Dec. 2014</w:t>
            </w:r>
          </w:p>
        </w:tc>
        <w:tc>
          <w:tcPr>
            <w:tcW w:w="2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Feb. 2032</w:t>
            </w:r>
          </w:p>
        </w:tc>
      </w:tr>
      <w:tr>
        <w:trPr>
          <w:trHeight w:val="230"/>
        </w:trPr>
        <w:tc>
          <w:tcPr>
            <w:tcW w:w="2520" w:type="dxa"/>
            <w:vAlign w:val="bottom"/>
            <w:shd w:val="clear" w:color="auto" w:fill="CCEEFF"/>
          </w:tcPr>
          <w:p>
            <w:pPr>
              <w:spacing w:after="0"/>
              <w:rPr>
                <w:sz w:val="20"/>
                <w:szCs w:val="20"/>
                <w:color w:val="auto"/>
              </w:rPr>
            </w:pPr>
          </w:p>
        </w:tc>
        <w:tc>
          <w:tcPr>
            <w:tcW w:w="5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conversion of precursor compounds</w:t>
            </w:r>
          </w:p>
        </w:tc>
        <w:tc>
          <w:tcPr>
            <w:tcW w:w="1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2012, the USPTO issued to us U.S. Patent No. 8,101,630, or the 630 Patent with a single claim that encompasses an extended release abuse deterrent dosage form of oxycodone or a pharmaceutically acceptable salt thereof. The 630 Patent expires in August 2024. In July 2014, we ceded priority of the ‘630 patent to a patent application filed by Purdue Pharma and expect this patent to be rescinded.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issued U.S.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we have retained all intellectual property rights to our Aversion Technology, Impede Technology, Limitx Technology and related product candidates.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2012 and 2013, we received Paragraph IV Certification Notices from five generic sponsors of an ANDA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the remaining generic sponsors was settled during the period October 2013 through May 2014 on an individual basis, upon mutual agreement between us and such generic sponsors. None of such settlements impacted the validity or enforceability of our Patents. See “Note 3 – License, Development and Commercialization Agreements - Paragraph IV ANDA Litigation” for a discussion of the settlements relating to such patent litigation.</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complaint seeks injunctive relief as well as awards of damages and attorneys’ fees. We deny the allegations in the complaint, believe they are without merit and intend to defend the action vigorously.</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Reference is made to the Risk Factors contained in Item 1A of this Report for a discussion, among other things, of patent applications and patents owned by third parties, including claims that may encompass our Aversion Technology and Oxaydo tablets.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March 31, 2015, we had cash, cash equivalents and marketable securities of $14.2 million compared to $12.1 million of cash, cash equivalents and marketable securities at December 31, 2014. We have a $2.5 million compensating balance requirement as a debt provision at March 31, 2015. Excluding the compensating balance requirement, the Company had unrestricted working capital of $8.7 million at March 31, 2015 compared to working capital of $10.2 million at December 31, 2014. We had an accumulated deficit of approximately $361 million and $362.3 million at March 31, 2015 and December 31, 2014, respectively. We had income from operations of $1.5 million and net income of $1.3 million for the three months ended March 31, 2015, compared to a loss from operation of $3.8 million and a net loss of $4.1 million for the three months ended March 31, 2014. As of April 30, 2015, our unrestricted cash, cash equivalents and marketable securities, less our compensating balance requirement of $2.5 million, was $11.0 million.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fund our continued operations, we expect to rely on our current cash resources, net proceeds, if any, from our “at-the-market” offering of our common stock pursuant to our Sales Agreement with MLV &amp; Co., milestone and royalty payments, if any, that may be made under Egalet Agreement, milestones and royalty payments that may be made under future license agreements with other pharmaceutical company partners, of which there can be no assurance of obtaining, and revenues from our commercialization of our Nexafed products. Our cash requirements for operating activities may increase in the future as we continue to conduct pre-clinical studies and clinical trials for our product candidates, maintain, defend, and expand the scope of our intellectual property, hire additional personnel, commercialize our Nexafed products, or invest in other areas.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losses have resulted principally from costs incurred in connection with research and development activities, salaries and other personnel-related costs and general corporate expenses. Research and development activities include costs of pre-clinical studies, clinical trials, and clinical trial product supplies associated with our product candidates. Salaries and other personnel-related costs include the non-cash stock-based compensation associated with stock options and restricted stock units granted to employees and non-employee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2015 Compared to Three months Ended March 31, 2014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w w:val="98"/>
              </w:rPr>
              <w:t>Increase</w:t>
            </w: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(decrease)</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$000’s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$000’s</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Percent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License fee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5,000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 net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5,357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753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write-down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964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Selling, marketing, general and administrative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2,297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3,845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1,512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income (expense), net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1,239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1,239</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(4,088)</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33</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Nexafed® was launched in December 2012. Nexafed® Sinus Pressure + Pain was launched in February 2015. The Company sells the Nexafed® product line in the United States to wholesale pharmaceutical distributors and as well as directly to chain drug stores. The product line is sold subject to the right of return for a period of up to twelve months after the product expiration. Both products currently have a shelf life of twenty-four months from the date of manufacture.</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limited sales history of Nexafed, we could not reliably estimate expected returns of the product at the time of shipment to certain customers and accordingly we had deferred revenue. As of December 31, 2014, we had $353 thousand of deferred revenue on our balance sheet related to Nexafed shipments which occurred since its commercial launch.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net revenue of $314 thousand. Revenue will be recognized at the time the product is sold to a customer.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License, Development, and Commercialization Agreement dated October 30, 2007 with King Pharmaceuticals Research and Development, Inc., now a subsidiary of Pfizer Inc., (which agreement has since been terminated effective April 2014) we began to earn royalties on Oxecta net sales starting in February 2013. We recorded royalties of approximately $3 thousand for the three months ended March 31, 2014 on Pfizer’s net sales of Oxecta of approximately $60 thousand. The Pfizer Agreement was terminated effective April 9, 2014 and Pfizer’s royalty payment obligations ceased as of such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7, 2015, we and Egalet US, Inc. and Egalet Ltd., each a subsidiary of Egalet Corporation, (collectively, “Egalet”) entered into a Collaboration and License Agreement (the “Egalet Agreement”) to commercialize Oxaydo™ tablets containing our Aversion® Technology. Egalet paid us an upfront payment of $5.0 million upon signing of the Egalet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sales includes third-party acquisition costs, third-party warehousing and product distribution charges and inventory reserve charges for the Nexafed product line.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cost of sales of $255 thousand. For the three months ended March 31, 2015 and 2014, cost of sales was $324 thousand and $38 thousand, respectively.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March 31, 2015 we recorded a $260 thousand reserve against raw and packaging material inventories we purchased from Pfizer on the Oxaydo product we reacquired from them. During the three months ended March 31, 2014 we recorded $0.1 million inventory reserve expense against finished goods.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Research and development expense (R&amp;D) during the three months ended March 31, 2015 and 2014 was primarily for our Aversion or our Impede Technologies development including costs of preclinical and non-clinical, clinical trials, clinical supplies and related formulation and design costs, salaries and other personnel related expenses, and facility costs. Included in each of the three month 2015 and 2014 results are non-cash share-based compensation expenses of $39 thousand and $0.1 million, respectively. Excluding the share-based compensation expense, our R&amp;D expenses decreased approximately $0.5 million between reporting periods primarily from a reduction in development expenses on product candidates.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Selling and marketing expenses during the three months ended March 31, 2015 and 2014 was primarily of advertising and marketing activities on the Nexafed product line. Our Nexafed advertising and marketing activities will continue in 2015. Our general and administrative expenses primarily consisted of legal, audit and other professional services, corporate insurance, and payroll. Included in each of the three month 2015 and 2014 results are non-cash share-based compensation expenses of $0.1 million. Excluding the share-based compensation expense our selling, marketing, general and administrative expenses increased by $0.1 million between reporting periods, resulting primarily from an increase in advertising and marketing activities offset by a reduction in legal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2015 and 2014, non-operating expense consisted principally of interest expense on the $10.0 million promissory note we entered into on December 27, 2013 less investment income derived from our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2015 includes no federal or state income tax expense as we have no assurance of realizing operating income for the annual period of 2015. Our results for 2014 included no federal or state income tax benefit provisions due to uncertainty of their future utilization.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March 31, 2015, the Company had cash, cash equivalents and marketable securities of $14.2 million compared to $12.1 million at December 31, 2014. We have a $2.5 million compensating balance requirement as a debt provision at March 31, 2015. Excluding the compensating balance requirement, the Company had unrestricted working capital of $8.7 million at March 31, 2015 compared to $10.2 million at December 31, 2014. The increase in our cash position is primarily due to our period’s net operating income driven by the $5.0 million license fee. Our operations includes our advertising and marketing activities on the Nexafed product line of $0.9 million, our general legal expenses of $0.2 million and for maintaining our patent and trademarks of $0.1 million.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Pending the receipt of further milestones and royalty payments under the Egalet Agreement and similar agreements for our products in development anticipated to be negotiated and executed with other pharmaceutical company partners, of which no assurance can be given, we must rely on revenues from our Nexafed products sales, the net proceeds, if any, from our “at-the-market” offering of our common stock pursuant to our Sales Agreement with MLV &amp; Co., and our current investments, including interest income from investments, to fund the development of our Impede Technology, Limitx Technology and Aversion Technology and related administrative and operating expenses. Our future sources of revenue, if any, will be derived from milestone payments and royalties under the Egalet Agreement and similar agreements for our products in development with other pharmaceutical company partners, for which there can be no assurance, and from the commercialization of our Nexafed products and other Impede Technology products that we expect to develop.</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30, 2015, our unrestricted cash, cash equivalents and marketable securities, less our compensating balance requirement of $2.5 million, was $11.0 million. We estimate that such unrestricted cash reserves will be sufficient to fund the development of Aversion Technology and Impede Technology product candidates, and related operating expenses at least through the next 12 months.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NASDAQ Notification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19, 2015, we received a letter from The NASDAQ Stock Market LLC (“NASDAQ”) indicating that the Company was afforded an additional 180 calendar day period to regain compliance with the minimum bid price requirement of $1.00 per share, as set forth in NASDAQ Listing Rule 5550(a)(2) (the “Rule”). The notification has no immediate effect on the listing of the Company’s common stock on The NASDAQ Capital Market.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previously disclosed by the Company on the Current Report on Form 8-K filed on September 18, 2014 with the Securities and Exchange Commission, on September 18, 2014 the Company received a written notification from NASDAQ notifying the Company that it had failed to comply with the Rule because the bid price for the Company’s common stock over a period of 30 consecutive business days prior to such date had closed below the minimum $1.00 per share requirement for continued listing. In accordance with NASDAQ’s Listing Rule 5810(c)(3)(A), the Company had a period of 180 calendar days, or until March 17, 2015, to regain compliance with the Rule. After determining that it would not be in compliance with the Rule by March 17, 2015, the Company notified NASDAQ and applied for an extension of the cure period, as permitted under the original notification.</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accordance with NASDAQ Listing Rule 5810(c)(3)(A), NASDAQ granted a second grace period of 180 calendar days, or until September 14, 2015, to regain compliance with the minimum closing bid price requirement for continued listing. In order to regain compliance, the minimum closing bid price per share of the Company’s common stock must be at least $1.00 for a minimum of ten consecutive business days. If the Company fails to regain compliance by September 14, 2015, the Company’s stock will be subject to delisting by NASDAQ.</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Company’s bid price does not rise of its own accord, the Company intends to effect a reverse stock split at some point during the NASDAQ’s second grace period expiring September 14, 2015 in order to comply with the minimum bid requirement.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we will be able to regain compliance with the minimum bid price requirement or maintain compliance with other listing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2014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2014 Annual Report are also applicable to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245"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firstLine="8"/>
        <w:spacing w:after="0" w:line="277" w:lineRule="auto"/>
        <w:tabs>
          <w:tab w:leader="none" w:pos="268" w:val="left"/>
        </w:tabs>
        <w:numPr>
          <w:ilvl w:val="0"/>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Changes in Internal Controls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There were no changes in our internal controls over financial reporting during the first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2015 that have materially affected, or are reasonably likely to materially affect, our internal controls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Note 3, “License, Development, and Commercialization Agreement – Paragraph IV ANDA Litigation”, and Note 15, “Commitments and Contingencies,” in Part I, Item 1,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Pr>
          <w:p>
            <w:pPr>
              <w:ind w:left="520"/>
              <w:spacing w:after="0"/>
              <w:rPr>
                <w:sz w:val="20"/>
                <w:szCs w:val="20"/>
                <w:color w:val="auto"/>
              </w:rPr>
            </w:pPr>
            <w:r>
              <w:rPr>
                <w:rFonts w:ascii="Arial" w:cs="Arial" w:eastAsia="Arial" w:hAnsi="Arial"/>
                <w:sz w:val="18"/>
                <w:szCs w:val="18"/>
                <w:color w:val="auto"/>
                <w:w w:val="94"/>
              </w:rPr>
              <w:t>Certification of Periodic Report by Chief Executive Officer pursuant to Rule 13a-14 and 15d-14 of the Securities Exchange Act of</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1934.</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tcPr>
          <w:p>
            <w:pPr>
              <w:ind w:left="520"/>
              <w:spacing w:after="0"/>
              <w:rPr>
                <w:sz w:val="20"/>
                <w:szCs w:val="20"/>
                <w:color w:val="auto"/>
              </w:rPr>
            </w:pPr>
            <w:r>
              <w:rPr>
                <w:rFonts w:ascii="Arial" w:cs="Arial" w:eastAsia="Arial" w:hAnsi="Arial"/>
                <w:sz w:val="18"/>
                <w:szCs w:val="18"/>
                <w:color w:val="auto"/>
                <w:w w:val="95"/>
              </w:rPr>
              <w:t>Certification of Periodic Report by Chief Financial Officer pursuant to Rule 13a-14 and 15d-14 of the Securities Exchange Act of</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1934.</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Pr>
          <w:p>
            <w:pPr>
              <w:ind w:left="520"/>
              <w:spacing w:after="0"/>
              <w:rPr>
                <w:sz w:val="20"/>
                <w:szCs w:val="20"/>
                <w:color w:val="auto"/>
              </w:rPr>
            </w:pPr>
            <w:r>
              <w:rPr>
                <w:rFonts w:ascii="Arial" w:cs="Arial" w:eastAsia="Arial" w:hAnsi="Arial"/>
                <w:sz w:val="18"/>
                <w:szCs w:val="18"/>
                <w:color w:val="auto"/>
                <w:w w:val="94"/>
              </w:rPr>
              <w:t>Certification of Periodic Report by the Chief Executive Officer and Chief Financial Officer pursuant to 18 U.S.C. Section 1350, as</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Instance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900"/>
        <w:spacing w:after="0"/>
        <w:tabs>
          <w:tab w:leader="none" w:pos="5700" w:val="left"/>
        </w:tabs>
        <w:rPr>
          <w:sz w:val="20"/>
          <w:szCs w:val="20"/>
          <w:color w:val="auto"/>
        </w:rPr>
      </w:pPr>
      <w:r>
        <w:rPr>
          <w:rFonts w:ascii="Arial" w:cs="Arial" w:eastAsia="Arial" w:hAnsi="Arial"/>
          <w:sz w:val="18"/>
          <w:szCs w:val="18"/>
          <w:color w:val="auto"/>
        </w:rPr>
        <w:t>April 30, 2015</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ind w:left="660" w:right="140" w:hanging="4"/>
        <w:spacing w:after="0" w:line="264" w:lineRule="auto"/>
        <w:tabs>
          <w:tab w:leader="none" w:pos="102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left="660" w:right="24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 accepted accounting principles;</w:t>
      </w:r>
    </w:p>
    <w:p>
      <w:pPr>
        <w:spacing w:after="0" w:line="183" w:lineRule="exact"/>
        <w:rPr>
          <w:rFonts w:ascii="Arial" w:cs="Arial" w:eastAsia="Arial" w:hAnsi="Arial"/>
          <w:sz w:val="17"/>
          <w:szCs w:val="17"/>
          <w:color w:val="auto"/>
        </w:rPr>
      </w:pPr>
    </w:p>
    <w:p>
      <w:pPr>
        <w:ind w:left="660" w:right="740" w:hanging="4"/>
        <w:spacing w:after="0" w:line="342" w:lineRule="auto"/>
        <w:tabs>
          <w:tab w:leader="none" w:pos="1025"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60" w:hanging="4"/>
        <w:spacing w:after="0" w:line="342" w:lineRule="auto"/>
        <w:tabs>
          <w:tab w:leader="none" w:pos="1035"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right="20" w:hanging="4"/>
        <w:spacing w:after="0" w:line="308" w:lineRule="auto"/>
        <w:tabs>
          <w:tab w:leader="none" w:pos="1049"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116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660"/>
              <w:spacing w:after="0"/>
              <w:rPr>
                <w:sz w:val="20"/>
                <w:szCs w:val="20"/>
                <w:color w:val="auto"/>
              </w:rPr>
            </w:pPr>
            <w:r>
              <w:rPr>
                <w:rFonts w:ascii="Arial" w:cs="Arial" w:eastAsia="Arial" w:hAnsi="Arial"/>
                <w:sz w:val="18"/>
                <w:szCs w:val="18"/>
                <w:color w:val="auto"/>
              </w:rPr>
              <w:t>April 30, 2015</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28" w:hanging="328"/>
        <w:spacing w:after="0" w:line="342" w:lineRule="auto"/>
        <w:tabs>
          <w:tab w:leader="none" w:pos="32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328" w:hanging="328"/>
        <w:spacing w:after="0" w:line="264"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328" w:right="20" w:hanging="4"/>
        <w:spacing w:after="0" w:line="264" w:lineRule="auto"/>
        <w:tabs>
          <w:tab w:leader="none" w:pos="7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328" w:hanging="4"/>
        <w:spacing w:after="0" w:line="264" w:lineRule="auto"/>
        <w:tabs>
          <w:tab w:leader="none" w:pos="7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28" w:hanging="4"/>
        <w:spacing w:after="0" w:line="308" w:lineRule="auto"/>
        <w:tabs>
          <w:tab w:leader="none" w:pos="854"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28" w:hanging="4"/>
        <w:spacing w:after="0" w:line="342" w:lineRule="auto"/>
        <w:tabs>
          <w:tab w:leader="none" w:pos="707"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sz w:val="20"/>
          <w:szCs w:val="20"/>
          <w:color w:val="auto"/>
        </w:rPr>
      </w:pPr>
    </w:p>
    <w:p>
      <w:pPr>
        <w:ind w:left="328" w:right="20" w:hanging="4"/>
        <w:spacing w:after="0" w:line="308" w:lineRule="auto"/>
        <w:tabs>
          <w:tab w:leader="none" w:pos="70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688" w:hanging="364"/>
        <w:spacing w:after="0"/>
        <w:tabs>
          <w:tab w:leader="none" w:pos="6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p>
      <w:pPr>
        <w:ind w:left="328"/>
        <w:spacing w:after="0"/>
        <w:tabs>
          <w:tab w:leader="none" w:pos="5927" w:val="left"/>
        </w:tabs>
        <w:rPr>
          <w:sz w:val="20"/>
          <w:szCs w:val="20"/>
          <w:color w:val="auto"/>
        </w:rPr>
      </w:pPr>
      <w:r>
        <w:rPr>
          <w:rFonts w:ascii="Arial" w:cs="Arial" w:eastAsia="Arial" w:hAnsi="Arial"/>
          <w:sz w:val="18"/>
          <w:szCs w:val="18"/>
          <w:color w:val="auto"/>
        </w:rPr>
        <w:t>April 30, 2015</w:t>
      </w:r>
      <w:r>
        <w:rPr>
          <w:sz w:val="20"/>
          <w:szCs w:val="20"/>
          <w:color w:val="auto"/>
        </w:rPr>
        <w:tab/>
      </w:r>
      <w:r>
        <w:rPr>
          <w:rFonts w:ascii="Arial" w:cs="Arial" w:eastAsia="Arial" w:hAnsi="Arial"/>
          <w:sz w:val="16"/>
          <w:szCs w:val="16"/>
          <w:color w:val="auto"/>
        </w:rPr>
        <w:t>/s/ Peter A. Clemens</w:t>
      </w:r>
    </w:p>
    <w:p>
      <w:pPr>
        <w:spacing w:after="0" w:line="36" w:lineRule="exact"/>
        <w:rPr>
          <w:sz w:val="20"/>
          <w:szCs w:val="20"/>
          <w:color w:val="auto"/>
        </w:rPr>
      </w:pPr>
    </w:p>
    <w:p>
      <w:pPr>
        <w:ind w:left="5948"/>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-130175</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948"/>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417195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33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In connection with the Quarterly Report of Acura Pharmaceuticals, Inc. (the "Company") on Form 10-Q for the period ending March 31, 2015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87" w:lineRule="exact"/>
        <w:rPr>
          <w:sz w:val="20"/>
          <w:szCs w:val="20"/>
          <w:color w:val="auto"/>
        </w:rPr>
      </w:pPr>
    </w:p>
    <w:p>
      <w:pPr>
        <w:ind w:left="540" w:hanging="275"/>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hanging="275"/>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660"/>
              <w:spacing w:after="0"/>
              <w:rPr>
                <w:sz w:val="20"/>
                <w:szCs w:val="20"/>
                <w:color w:val="auto"/>
              </w:rPr>
            </w:pPr>
            <w:r>
              <w:rPr>
                <w:rFonts w:ascii="Arial" w:cs="Arial" w:eastAsia="Arial" w:hAnsi="Arial"/>
                <w:sz w:val="18"/>
                <w:szCs w:val="18"/>
                <w:color w:val="auto"/>
              </w:rPr>
              <w:t>April 30, 2015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þ"/>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lowerRoman"/>
      <w:start w:val="1"/>
    </w:lvl>
  </w:abstractNum>
  <w:abstractNum w:abstractNumId="5">
    <w:nsid w:val="3352255A"/>
    <w:multiLevelType w:val="hybridMultilevel"/>
    <w:lvl w:ilvl="0">
      <w:lvlJc w:val="left"/>
      <w:lvlText w:val="\endash "/>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bullet"/>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1"/>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2019-12-29T16:46:52Z</dcterms:created>
  <dcterms:modified xsi:type="dcterms:W3CDTF">2019-12-29T16:46:52Z</dcterms:modified>
</cp:coreProperties>
</file>