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42" w:lineRule="exact"/>
        <w:rPr>
          <w:sz w:val="24"/>
          <w:szCs w:val="24"/>
          <w:color w:val="auto"/>
        </w:rPr>
      </w:pPr>
    </w:p>
    <w:p>
      <w:pPr>
        <w:jc w:val="center"/>
        <w:ind w:left="22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left="22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left="226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0"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00" w:lineRule="exact"/>
        <w:rPr>
          <w:sz w:val="24"/>
          <w:szCs w:val="24"/>
          <w:color w:val="auto"/>
        </w:rPr>
      </w:pPr>
    </w:p>
    <w:p>
      <w:pPr>
        <w:spacing w:after="0" w:line="268"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NOTIFICATION OF LATE FILING</w:t>
      </w:r>
    </w:p>
    <w:p>
      <w:pPr>
        <w:spacing w:after="0" w:line="200" w:lineRule="exact"/>
        <w:rPr>
          <w:sz w:val="24"/>
          <w:szCs w:val="24"/>
          <w:color w:val="auto"/>
        </w:rPr>
      </w:pPr>
    </w:p>
    <w:p>
      <w:pPr>
        <w:spacing w:after="0" w:line="253" w:lineRule="exact"/>
        <w:rPr>
          <w:sz w:val="24"/>
          <w:szCs w:val="24"/>
          <w:color w:val="auto"/>
        </w:rPr>
      </w:pPr>
    </w:p>
    <w:p>
      <w:pPr>
        <w:spacing w:after="0" w:line="207" w:lineRule="exact"/>
        <w:tabs>
          <w:tab w:leader="none" w:pos="1280" w:val="left"/>
          <w:tab w:leader="none" w:pos="2580" w:val="left"/>
          <w:tab w:leader="none" w:pos="3880" w:val="left"/>
          <w:tab w:leader="none" w:pos="5180" w:val="left"/>
          <w:tab w:leader="none" w:pos="6480" w:val="left"/>
          <w:tab w:leader="none" w:pos="776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Form10 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sz w:val="20"/>
          <w:szCs w:val="20"/>
          <w:color w:val="auto"/>
        </w:rPr>
        <w:tab/>
      </w:r>
      <w:r>
        <w:rPr>
          <w:rFonts w:ascii="Arial" w:cs="Arial" w:eastAsia="Arial" w:hAnsi="Arial"/>
          <w:sz w:val="18"/>
          <w:szCs w:val="18"/>
          <w:color w:val="auto"/>
        </w:rPr>
        <w:t>þ Form 10-Q</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10-D</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N-SAR</w:t>
      </w:r>
    </w:p>
    <w:p>
      <w:pPr>
        <w:spacing w:after="0" w:line="51"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Form N-CSR</w:t>
      </w:r>
    </w:p>
    <w:p>
      <w:pPr>
        <w:spacing w:after="0" w:line="21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1666240</wp:posOffset>
            </wp:positionH>
            <wp:positionV relativeFrom="paragraph">
              <wp:posOffset>-7620</wp:posOffset>
            </wp:positionV>
            <wp:extent cx="956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6310" cy="8890"/>
                    </a:xfrm>
                    <a:prstGeom prst="rect">
                      <a:avLst/>
                    </a:prstGeom>
                    <a:noFill/>
                  </pic:spPr>
                </pic:pic>
              </a:graphicData>
            </a:graphic>
          </wp:anchor>
        </w:drawing>
      </w:r>
    </w:p>
    <w:p>
      <w:pPr>
        <w:spacing w:after="0" w:line="209" w:lineRule="exact"/>
        <w:rPr>
          <w:sz w:val="24"/>
          <w:szCs w:val="24"/>
          <w:color w:val="auto"/>
        </w:rPr>
      </w:pPr>
    </w:p>
    <w:p>
      <w:pPr>
        <w:ind w:left="1680" w:hanging="375"/>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680" w:hanging="375"/>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80" w:hanging="375"/>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80" w:hanging="375"/>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300" w:right="4760" w:firstLine="5"/>
        <w:spacing w:after="0" w:line="288" w:lineRule="auto"/>
        <w:tabs>
          <w:tab w:leader="none" w:pos="167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304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0416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-49530</wp:posOffset>
            </wp:positionV>
            <wp:extent cx="134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-130175</wp:posOffset>
            </wp:positionV>
            <wp:extent cx="1534795" cy="711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71183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OMB Number:…….3235-0058</w:t>
      </w:r>
    </w:p>
    <w:p>
      <w:pPr>
        <w:spacing w:after="0" w:line="46" w:lineRule="exact"/>
        <w:rPr>
          <w:sz w:val="24"/>
          <w:szCs w:val="24"/>
          <w:color w:val="auto"/>
        </w:rPr>
      </w:pPr>
    </w:p>
    <w:p>
      <w:pPr>
        <w:ind w:right="200"/>
        <w:spacing w:after="0" w:line="302" w:lineRule="auto"/>
        <w:rPr>
          <w:sz w:val="20"/>
          <w:szCs w:val="20"/>
          <w:color w:val="auto"/>
        </w:rPr>
      </w:pPr>
      <w:r>
        <w:rPr>
          <w:rFonts w:ascii="Arial" w:cs="Arial" w:eastAsia="Arial" w:hAnsi="Arial"/>
          <w:sz w:val="16"/>
          <w:szCs w:val="16"/>
          <w:color w:val="auto"/>
        </w:rPr>
        <w:t>Expires: August 31, 2018 Estimated average burden hours per response..........2.50</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-130175</wp:posOffset>
            </wp:positionV>
            <wp:extent cx="144907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29146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1-10113</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-130175</wp:posOffset>
            </wp:positionV>
            <wp:extent cx="144907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42862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00509L 802</w:t>
      </w:r>
    </w:p>
    <w:p>
      <w:pPr>
        <w:spacing w:after="0" w:line="3074" w:lineRule="exact"/>
        <w:rPr>
          <w:sz w:val="24"/>
          <w:szCs w:val="24"/>
          <w:color w:val="auto"/>
        </w:rPr>
      </w:pPr>
    </w:p>
    <w:p>
      <w:pPr>
        <w:sectPr>
          <w:pgSz w:w="11900" w:h="16838" w:orient="portrait"/>
          <w:cols w:equalWidth="0" w:num="2">
            <w:col w:w="8960" w:space="120"/>
            <w:col w:w="2340"/>
          </w:cols>
          <w:pgMar w:left="240" w:top="490" w:right="239" w:bottom="1440" w:gutter="0" w:footer="0" w:header="0"/>
        </w:sect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616 N. North Court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Palatine, IL 60067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140" w:hanging="333"/>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jc w:val="both"/>
        <w:ind w:left="1120" w:right="100" w:hanging="313"/>
        <w:spacing w:after="0" w:line="265" w:lineRule="auto"/>
        <w:tabs>
          <w:tab w:leader="none" w:pos="1194"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w:t>
      </w:r>
    </w:p>
    <w:p>
      <w:pPr>
        <w:ind w:left="1120" w:right="100" w:hanging="1015"/>
        <w:spacing w:after="0" w:line="250" w:lineRule="auto"/>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on Form l0-Q or subject distribution report on Form 10-D, or portion thereof, will be filed on or before the fifth calendar day following the prescribed due date; and</w:t>
      </w:r>
    </w:p>
    <w:p>
      <w:pPr>
        <w:ind w:left="1140" w:hanging="333"/>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-816610</wp:posOffset>
            </wp:positionV>
            <wp:extent cx="8890" cy="960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1" w:name="page2"/>
    <w:bookmarkEnd w:id="1"/>
    <w:p>
      <w:pPr>
        <w:ind w:right="20"/>
        <w:spacing w:after="0" w:line="308" w:lineRule="auto"/>
        <w:rPr>
          <w:sz w:val="20"/>
          <w:szCs w:val="20"/>
          <w:color w:val="auto"/>
        </w:rPr>
      </w:pPr>
      <w:r>
        <w:rPr>
          <w:rFonts w:ascii="Arial" w:cs="Arial" w:eastAsia="Arial" w:hAnsi="Arial"/>
          <w:sz w:val="17"/>
          <w:szCs w:val="17"/>
          <w:color w:val="auto"/>
        </w:rPr>
        <w:t>The Registrant’s Form 10-Q for the period ended March 31, 2018 could not be filed within the prescribed time period because the Company is utilizing its limited resources to focus on completing its Form 10-K and therefore not has yet prepared and submitted the 10-Q to its auditors for their review.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SEC 1344 (04-09)</w:t>
            </w:r>
          </w:p>
        </w:tc>
        <w:tc>
          <w:tcPr>
            <w:tcW w:w="798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Persons who are to respond to the collection of information contained in this form are not required to</w:t>
            </w:r>
          </w:p>
        </w:tc>
        <w:tc>
          <w:tcPr>
            <w:tcW w:w="0" w:type="dxa"/>
            <w:vAlign w:val="bottom"/>
          </w:tcPr>
          <w:p>
            <w:pPr>
              <w:spacing w:after="0"/>
              <w:rPr>
                <w:sz w:val="1"/>
                <w:szCs w:val="1"/>
                <w:color w:val="auto"/>
              </w:rPr>
            </w:pPr>
          </w:p>
        </w:tc>
      </w:tr>
      <w:tr>
        <w:trPr>
          <w:trHeight w:val="234"/>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(Attach extra Sheets if Needed)</w:t>
            </w:r>
          </w:p>
        </w:tc>
        <w:tc>
          <w:tcPr>
            <w:tcW w:w="7980" w:type="dxa"/>
            <w:vAlign w:val="bottom"/>
            <w:gridSpan w:val="4"/>
          </w:tcPr>
          <w:p>
            <w:pPr>
              <w:ind w:left="100"/>
              <w:spacing w:after="0"/>
              <w:rPr>
                <w:sz w:val="20"/>
                <w:szCs w:val="20"/>
                <w:color w:val="auto"/>
              </w:rPr>
            </w:pPr>
            <w:r>
              <w:rPr>
                <w:rFonts w:ascii="Arial" w:cs="Arial" w:eastAsia="Arial" w:hAnsi="Arial"/>
                <w:sz w:val="18"/>
                <w:szCs w:val="18"/>
                <w:b w:val="1"/>
                <w:bCs w:val="1"/>
                <w:color w:val="auto"/>
              </w:rPr>
              <w:t>respond unless the form displays a currently valid OMB control number.</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PART IV — OTHER INFORMATION</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Peter A. Clemens</w:t>
            </w:r>
          </w:p>
        </w:tc>
        <w:tc>
          <w:tcPr>
            <w:tcW w:w="4000" w:type="dxa"/>
            <w:vAlign w:val="bottom"/>
            <w:gridSpan w:val="2"/>
          </w:tcPr>
          <w:p>
            <w:pPr>
              <w:jc w:val="right"/>
              <w:ind w:right="1490"/>
              <w:spacing w:after="0"/>
              <w:rPr>
                <w:sz w:val="20"/>
                <w:szCs w:val="20"/>
                <w:color w:val="auto"/>
              </w:rPr>
            </w:pPr>
            <w:r>
              <w:rPr>
                <w:rFonts w:ascii="Arial" w:cs="Arial" w:eastAsia="Arial" w:hAnsi="Arial"/>
                <w:sz w:val="18"/>
                <w:szCs w:val="18"/>
                <w:color w:val="auto"/>
              </w:rPr>
              <w:t>847</w:t>
            </w:r>
          </w:p>
        </w:tc>
        <w:tc>
          <w:tcPr>
            <w:tcW w:w="560" w:type="dxa"/>
            <w:vAlign w:val="bottom"/>
          </w:tcPr>
          <w:p>
            <w:pPr>
              <w:spacing w:after="0"/>
              <w:rPr>
                <w:sz w:val="24"/>
                <w:szCs w:val="24"/>
                <w:color w:val="auto"/>
              </w:rPr>
            </w:pPr>
          </w:p>
        </w:tc>
        <w:tc>
          <w:tcPr>
            <w:tcW w:w="3420" w:type="dxa"/>
            <w:vAlign w:val="bottom"/>
          </w:tcPr>
          <w:p>
            <w:pPr>
              <w:jc w:val="right"/>
              <w:ind w:right="1270"/>
              <w:spacing w:after="0"/>
              <w:rPr>
                <w:sz w:val="20"/>
                <w:szCs w:val="20"/>
                <w:color w:val="auto"/>
              </w:rPr>
            </w:pPr>
            <w:r>
              <w:rPr>
                <w:rFonts w:ascii="Arial" w:cs="Arial" w:eastAsia="Arial" w:hAnsi="Arial"/>
                <w:sz w:val="18"/>
                <w:szCs w:val="18"/>
                <w:color w:val="auto"/>
              </w:rPr>
              <w:t>705-7709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58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hanging="332"/>
        <w:spacing w:after="0" w:line="221" w:lineRule="exact"/>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10-K for period ending December 31, 2017</w:t>
      </w:r>
    </w:p>
    <w:p>
      <w:pPr>
        <w:spacing w:after="0" w:line="209" w:lineRule="exact"/>
        <w:rPr>
          <w:sz w:val="20"/>
          <w:szCs w:val="20"/>
          <w:color w:val="auto"/>
        </w:rPr>
      </w:pPr>
    </w:p>
    <w:p>
      <w:pPr>
        <w:ind w:left="340" w:right="20" w:hanging="332"/>
        <w:spacing w:after="0" w:line="233" w:lineRule="exact"/>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18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15, 2018</w:t>
            </w:r>
          </w:p>
        </w:tc>
        <w:tc>
          <w:tcPr>
            <w:tcW w:w="1020" w:type="dxa"/>
            <w:vAlign w:val="bottom"/>
          </w:tcPr>
          <w:p>
            <w:pPr>
              <w:ind w:left="680"/>
              <w:spacing w:after="0"/>
              <w:rPr>
                <w:sz w:val="20"/>
                <w:szCs w:val="20"/>
                <w:color w:val="auto"/>
              </w:rPr>
            </w:pPr>
            <w:r>
              <w:rPr>
                <w:rFonts w:ascii="Arial" w:cs="Arial" w:eastAsia="Arial" w:hAnsi="Arial"/>
                <w:sz w:val="18"/>
                <w:szCs w:val="18"/>
                <w:color w:val="auto"/>
              </w:rPr>
              <w:t>By</w:t>
            </w:r>
          </w:p>
        </w:tc>
        <w:tc>
          <w:tcPr>
            <w:tcW w:w="7060" w:type="dxa"/>
            <w:vAlign w:val="bottom"/>
          </w:tcPr>
          <w:p>
            <w:pPr>
              <w:ind w:left="480"/>
              <w:spacing w:after="0"/>
              <w:rPr>
                <w:sz w:val="20"/>
                <w:szCs w:val="20"/>
                <w:color w:val="auto"/>
              </w:rPr>
            </w:pPr>
            <w:r>
              <w:rPr>
                <w:rFonts w:ascii="Arial" w:cs="Arial" w:eastAsia="Arial" w:hAnsi="Arial"/>
                <w:sz w:val="18"/>
                <w:szCs w:val="18"/>
                <w:b w:val="1"/>
                <w:bCs w:val="1"/>
                <w:color w:val="auto"/>
              </w:rPr>
              <w:t>/S/ Peter A. Clemens</w:t>
            </w:r>
          </w:p>
        </w:tc>
      </w:tr>
      <w:tr>
        <w:trPr>
          <w:trHeight w:val="228"/>
        </w:trPr>
        <w:tc>
          <w:tcPr>
            <w:tcW w:w="460" w:type="dxa"/>
            <w:vAlign w:val="bottom"/>
          </w:tcPr>
          <w:p>
            <w:pPr>
              <w:spacing w:after="0"/>
              <w:rPr>
                <w:sz w:val="19"/>
                <w:szCs w:val="19"/>
                <w:color w:val="auto"/>
              </w:rPr>
            </w:pPr>
          </w:p>
        </w:tc>
        <w:tc>
          <w:tcPr>
            <w:tcW w:w="288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7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PETER A. CLEMENS, SENIOR VP &amp; CFO</w:t>
            </w:r>
          </w:p>
        </w:tc>
      </w:tr>
    </w:tbl>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INSTRUCTIONS</w:t>
      </w:r>
    </w:p>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form is required by Rule 12b-25 (17 CFR 240.12b-25) of the General Rules and Regulations under the Securities Exchange Act of 1934.</w:t>
      </w:r>
    </w:p>
    <w:p>
      <w:pPr>
        <w:spacing w:after="0" w:line="23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17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Electronic Filers: </w:t>
      </w:r>
      <w:r>
        <w:rPr>
          <w:rFonts w:ascii="Arial" w:cs="Arial" w:eastAsia="Arial" w:hAnsi="Arial"/>
          <w:sz w:val="16"/>
          <w:szCs w:val="16"/>
          <w:color w:val="auto"/>
        </w:rPr>
        <w:t>This form shall not be used by electronic filers unable to timely file a report solely due to electronic difficulties. Filers unable to submit</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p>
      <w:pPr>
        <w:spacing w:after="0" w:line="146"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Interactive data submissions. </w:t>
      </w:r>
      <w:r>
        <w:rPr>
          <w:rFonts w:ascii="Arial" w:cs="Arial" w:eastAsia="Arial" w:hAnsi="Arial"/>
          <w:sz w:val="18"/>
          <w:szCs w:val="18"/>
          <w:color w:val="auto"/>
        </w:rPr>
        <w:t>This form shall not be used by electronic filers with respect to the submission or posting of an Interactive Data File</w:t>
      </w:r>
      <w:r>
        <w:rPr>
          <w:rFonts w:ascii="Arial" w:cs="Arial" w:eastAsia="Arial" w:hAnsi="Arial"/>
          <w:sz w:val="18"/>
          <w:szCs w:val="18"/>
          <w:i w:val="1"/>
          <w:iCs w:val="1"/>
          <w:color w:val="auto"/>
        </w:rPr>
        <w:t xml:space="preserve"> </w:t>
      </w:r>
      <w:r>
        <w:rPr>
          <w:rFonts w:ascii="Arial" w:cs="Arial" w:eastAsia="Arial" w:hAnsi="Arial"/>
          <w:sz w:val="18"/>
          <w:szCs w:val="18"/>
          <w:color w:val="auto"/>
        </w:rPr>
        <w:t>(§232.11 of this chapter). Electronic filers unable to submit or post an Interactive Data File within the time period prescribed should comply with either Rule 201 or 202 of Regulation S-T( §232.201 and §232.202 of this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lvl w:ilvl="1">
      <w:lvlJc w:val="left"/>
      <w:lvlText w:val="(%2)"/>
      <w:numFmt w:val="lowerLetter"/>
      <w:start w:val="3"/>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2019-12-05T16:08:03Z</dcterms:created>
  <dcterms:modified xsi:type="dcterms:W3CDTF">2019-12-05T16:08:03Z</dcterms:modified>
</cp:coreProperties>
</file>