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117475</wp:posOffset>
            </wp:positionV>
            <wp:extent cx="657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6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40" w:right="1380" w:hanging="132"/>
        <w:spacing w:after="0" w:line="501"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128905</wp:posOffset>
            </wp:positionV>
            <wp:extent cx="657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5"/>
              </w:rPr>
              <w:t>New York</w:t>
            </w:r>
          </w:p>
        </w:tc>
        <w:tc>
          <w:tcPr>
            <w:tcW w:w="412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2"/>
              </w:rPr>
              <w:t>(State or other Jurisdiction of</w:t>
            </w:r>
          </w:p>
        </w:tc>
        <w:tc>
          <w:tcPr>
            <w:tcW w:w="4120" w:type="dxa"/>
            <w:vAlign w:val="bottom"/>
          </w:tcPr>
          <w:p>
            <w:pPr>
              <w:jc w:val="center"/>
              <w:ind w:left="14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4"/>
              </w:rPr>
              <w:t>incorporation or organization)</w:t>
            </w:r>
          </w:p>
        </w:tc>
        <w:tc>
          <w:tcPr>
            <w:tcW w:w="4120" w:type="dxa"/>
            <w:vAlign w:val="bottom"/>
          </w:tcPr>
          <w:p>
            <w:pPr>
              <w:spacing w:after="0"/>
              <w:rPr>
                <w:sz w:val="20"/>
                <w:szCs w:val="20"/>
                <w:color w:val="auto"/>
              </w:rPr>
            </w:pPr>
          </w:p>
        </w:tc>
      </w:tr>
      <w:tr>
        <w:trPr>
          <w:trHeight w:val="414"/>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616 N. North Court, Suite 120</w:t>
            </w:r>
          </w:p>
        </w:tc>
        <w:tc>
          <w:tcPr>
            <w:tcW w:w="4120" w:type="dxa"/>
            <w:vAlign w:val="bottom"/>
          </w:tcPr>
          <w:p>
            <w:pPr>
              <w:spacing w:after="0"/>
              <w:rPr>
                <w:sz w:val="24"/>
                <w:szCs w:val="24"/>
                <w:color w:val="auto"/>
              </w:rPr>
            </w:pPr>
          </w:p>
        </w:tc>
      </w:tr>
      <w:tr>
        <w:trPr>
          <w:trHeight w:val="220"/>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Palatine, Illinois</w:t>
            </w:r>
          </w:p>
        </w:tc>
        <w:tc>
          <w:tcPr>
            <w:tcW w:w="412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120" w:type="dxa"/>
            <w:vAlign w:val="bottom"/>
          </w:tcPr>
          <w:p>
            <w:pPr>
              <w:jc w:val="center"/>
              <w:ind w:left="14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jc w:val="both"/>
        <w:ind w:firstLine="194"/>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firstLine="19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520"/>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19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þ</w:t>
      </w:r>
    </w:p>
    <w:p>
      <w:pPr>
        <w:spacing w:after="0" w:line="199" w:lineRule="exact"/>
        <w:rPr>
          <w:sz w:val="24"/>
          <w:szCs w:val="24"/>
          <w:color w:val="auto"/>
        </w:rPr>
      </w:pPr>
    </w:p>
    <w:p>
      <w:pPr>
        <w:sectPr>
          <w:pgSz w:w="11900" w:h="16838" w:orient="portrait"/>
          <w:cols w:equalWidth="0" w:num="2">
            <w:col w:w="6940" w:space="720"/>
            <w:col w:w="3760"/>
          </w:cols>
          <w:pgMar w:left="240" w:top="472" w:right="239" w:bottom="1440" w:gutter="0" w:footer="0" w:header="0"/>
          <w:type w:val="continuous"/>
        </w:sectPr>
      </w:pPr>
    </w:p>
    <w:p>
      <w:pPr>
        <w:ind w:left="2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As of August 5, 2016 the registrant had 11,833,801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80" w:type="dxa"/>
            <w:vAlign w:val="bottom"/>
            <w:gridSpan w:val="17"/>
            <w:shd w:val="clear" w:color="auto" w:fill="CCEEFF"/>
          </w:tcPr>
          <w:p>
            <w:pPr>
              <w:ind w:left="4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2016 and December 31, 2015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and Comprehensive Loss for the Three and Six months Ended June 30,</w:t>
              </w:r>
            </w:hyperlink>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2016 and June 30, 2015 (unaudited)</w:t>
              </w:r>
            </w:hyperlink>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Six months Ended June 30, 2016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Six months Ended June 30, 2016 and June 30, 2015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OTHER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80" w:type="dxa"/>
            <w:vAlign w:val="bottom"/>
            <w:gridSpan w:val="1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2"/>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gridSpan w:val="11"/>
          </w:tcPr>
          <w:p>
            <w:pPr>
              <w:jc w:val="right"/>
              <w:ind w:right="320"/>
              <w:spacing w:after="0"/>
              <w:rPr>
                <w:sz w:val="20"/>
                <w:szCs w:val="20"/>
                <w:color w:val="auto"/>
              </w:rPr>
            </w:pPr>
            <w:r>
              <w:rPr>
                <w:rFonts w:ascii="Arial" w:cs="Arial" w:eastAsia="Arial" w:hAnsi="Arial"/>
                <w:sz w:val="18"/>
                <w:szCs w:val="18"/>
                <w:color w:val="auto"/>
              </w:rPr>
              <w:t>1</w:t>
            </w:r>
          </w:p>
        </w:tc>
        <w:tc>
          <w:tcPr>
            <w:tcW w:w="21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Part I. FINANCIAL INFORMATION</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Consolidated Financial Statements</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rPr>
              <w:t>ACURA PHARMACEUTICALS, INC.</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jc w:val="center"/>
              <w:ind w:left="389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jc w:val="center"/>
              <w:ind w:left="389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24"/>
                <w:szCs w:val="24"/>
                <w:color w:val="auto"/>
              </w:rPr>
            </w:pP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Marketable securities (Note 7)</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$4 and $91</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(Note 8)</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 (Note 9)</w:t>
            </w: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Intangible asset, net of accumulated amortization of $465 and $362 (Note 4)</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(Note 10)</w:t>
            </w:r>
          </w:p>
        </w:tc>
        <w:tc>
          <w:tcPr>
            <w:tcW w:w="3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Debt - current (Note 11)</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2,320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Debt – non-current portion, net of discount of $142 and $193, and debt issuance costs of $70 and $97</w:t>
            </w:r>
          </w:p>
        </w:tc>
        <w:tc>
          <w:tcPr>
            <w:tcW w:w="34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(Note 11)</w:t>
            </w:r>
          </w:p>
        </w:tc>
        <w:tc>
          <w:tcPr>
            <w:tcW w:w="3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interest – non-current portion</w:t>
            </w:r>
          </w:p>
        </w:tc>
        <w:tc>
          <w:tcPr>
            <w:tcW w:w="3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 $.01 par value per share; 100,000 shares authorized, 11,834 and 11,801 shares</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June 30, 2016 and December 31, 2015, respectively</w:t>
            </w:r>
          </w:p>
        </w:tc>
        <w:tc>
          <w:tcPr>
            <w:tcW w:w="3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375,475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375,157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(373,982)</w:t>
            </w:r>
          </w:p>
        </w:tc>
        <w:tc>
          <w:tcPr>
            <w:tcW w:w="2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gridSpan w:val="5"/>
          </w:tcPr>
          <w:p>
            <w:pPr>
              <w:jc w:val="right"/>
              <w:ind w:right="305"/>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40" w:type="dxa"/>
            <w:vAlign w:val="bottom"/>
            <w:gridSpan w:val="4"/>
          </w:tcPr>
          <w:p>
            <w:pPr>
              <w:jc w:val="right"/>
              <w:ind w:right="725"/>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4"/>
          </w:tcPr>
          <w:p>
            <w:pPr>
              <w:jc w:val="right"/>
              <w:ind w:right="265"/>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15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5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and expenses: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(excluding inventory write-downs)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Inventory write-downs (Note 8)</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4,054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(3,079)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11)</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(3,288)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(3,288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Unrealized gains (losses) on securities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(3,267</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(2,694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of common stock:</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106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1060" w:type="dxa"/>
            <w:vAlign w:val="bottom"/>
            <w:gridSpan w:val="2"/>
            <w:shd w:val="clear" w:color="auto" w:fill="CCEEFF"/>
          </w:tcPr>
          <w:p>
            <w:pPr>
              <w:jc w:val="right"/>
              <w:ind w:right="80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5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11,858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11,858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11,847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8"/>
          </w:tcPr>
          <w:p>
            <w:pPr>
              <w:jc w:val="right"/>
              <w:spacing w:after="0"/>
              <w:rPr>
                <w:sz w:val="20"/>
                <w:szCs w:val="20"/>
                <w:color w:val="auto"/>
              </w:rPr>
            </w:pPr>
            <w:r>
              <w:rPr>
                <w:rFonts w:ascii="Arial" w:cs="Arial" w:eastAsia="Arial" w:hAnsi="Arial"/>
                <w:sz w:val="18"/>
                <w:szCs w:val="18"/>
                <w:color w:val="auto"/>
                <w:w w:val="92"/>
              </w:rPr>
              <w:t>Six months Ended June 30, 2016</w:t>
            </w:r>
          </w:p>
        </w:tc>
        <w:tc>
          <w:tcPr>
            <w:tcW w:w="60" w:type="dxa"/>
            <w:vAlign w:val="bottom"/>
          </w:tcPr>
          <w:p>
            <w:pPr>
              <w:spacing w:after="0"/>
              <w:rPr>
                <w:sz w:val="20"/>
                <w:szCs w:val="20"/>
                <w:color w:val="auto"/>
              </w:rPr>
            </w:pPr>
          </w:p>
        </w:tc>
        <w:tc>
          <w:tcPr>
            <w:tcW w:w="126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Paid-in</w:t>
            </w:r>
          </w:p>
        </w:tc>
        <w:tc>
          <w:tcPr>
            <w:tcW w:w="1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Accumulated</w:t>
            </w:r>
          </w:p>
        </w:tc>
        <w:tc>
          <w:tcPr>
            <w:tcW w:w="1320" w:type="dxa"/>
            <w:vAlign w:val="bottom"/>
            <w:gridSpan w:val="4"/>
          </w:tcPr>
          <w:p>
            <w:pPr>
              <w:jc w:val="center"/>
              <w:spacing w:after="0"/>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 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(373,982)</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gridSpan w:val="4"/>
          </w:tcPr>
          <w:p>
            <w:pPr>
              <w:jc w:val="right"/>
              <w:ind w:right="10"/>
              <w:spacing w:after="0"/>
              <w:rPr>
                <w:sz w:val="20"/>
                <w:szCs w:val="20"/>
                <w:color w:val="auto"/>
              </w:rPr>
            </w:pPr>
            <w:r>
              <w:rPr>
                <w:rFonts w:ascii="Arial" w:cs="Arial" w:eastAsia="Arial" w:hAnsi="Arial"/>
                <w:sz w:val="18"/>
                <w:szCs w:val="18"/>
                <w:color w:val="auto"/>
                <w:w w:val="94"/>
              </w:rPr>
              <w:t>Six months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2016</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102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(6,672)</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Provision for sales returns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intangible asset</w:t>
            </w:r>
          </w:p>
        </w:tc>
        <w:tc>
          <w:tcPr>
            <w:tcW w:w="1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sales of marketable securities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investment income</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Other current deferred assets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Proceeds from disposals of property, plant and equipment</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ATM offering</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ATM offering transaction costs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debt</w:t>
            </w:r>
          </w:p>
        </w:tc>
        <w:tc>
          <w:tcPr>
            <w:tcW w:w="1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Borders>
              <w:top w:val="single" w:sz="8" w:color="auto"/>
              <w:bottom w:val="single" w:sz="8" w:color="auto"/>
            </w:tcBorders>
            <w:shd w:val="clear" w:color="auto" w:fill="CCEEFF"/>
          </w:tcPr>
          <w:p>
            <w:pPr>
              <w:jc w:val="right"/>
              <w:ind w:right="1021"/>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1180" w:type="dxa"/>
            <w:vAlign w:val="bottom"/>
            <w:shd w:val="clear" w:color="auto" w:fill="CCEEFF"/>
          </w:tcPr>
          <w:p>
            <w:pPr>
              <w:jc w:val="right"/>
              <w:ind w:right="102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ACURA PHARMACEUTICALS, INC. AND SUBSIDIAR</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 expect per share amounts and are adjusted to give effect to our one-for-five reverse stock split on August 28,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supplemental disclosure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2015</w:t>
      </w:r>
    </w:p>
    <w:p>
      <w:pPr>
        <w:spacing w:after="0" w:line="225" w:lineRule="exact"/>
        <w:rPr>
          <w:sz w:val="20"/>
          <w:szCs w:val="20"/>
          <w:color w:val="auto"/>
        </w:rPr>
      </w:pPr>
    </w:p>
    <w:p>
      <w:pPr>
        <w:ind w:right="420" w:firstLine="8"/>
        <w:spacing w:after="0" w:line="342" w:lineRule="auto"/>
        <w:tabs>
          <w:tab w:leader="none" w:pos="31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exercise price of 60 thousand common stock purchase warrants held by the lender of our debt was changed from $7.98 to $2.52 per share. The change in fair value of $33 was recorded as additional debt discount and is being amortized as interest expense over the remaining term of this debt.</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JUNE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Acura Pharmaceuticals, Inc., a New York corporation, and its subsidiary (the “Company”, “We”, “Us”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into methamphetamine.</w:t>
      </w:r>
    </w:p>
    <w:p>
      <w:pPr>
        <w:spacing w:after="0" w:line="188" w:lineRule="exact"/>
        <w:rPr>
          <w:sz w:val="20"/>
          <w:szCs w:val="20"/>
          <w:color w:val="auto"/>
        </w:rPr>
      </w:pPr>
    </w:p>
    <w:p>
      <w:pPr>
        <w:jc w:val="both"/>
        <w:ind w:left="660" w:hanging="328"/>
        <w:spacing w:after="0" w:line="26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w:t>
      </w:r>
    </w:p>
    <w:p>
      <w:pPr>
        <w:spacing w:after="0" w:line="3"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Nexafed® Tablets (30mg pseudoephedrine) and Nexafed® Sinus Pressure + Pain Tablets (30/325mg pseudoephedrine and acetaminophen), utilizing the Impede Technology, were launched by us into the United States market in December 2012 and February 2015, respectively. We have multiple pseudoephedrine products in development utilizing our Impede Technology. On June 15, 2015, we and Bayer Healthcare LLC entered into a License and Development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w:t>
      </w:r>
    </w:p>
    <w:p>
      <w:pPr>
        <w:spacing w:after="0" w:line="2"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We have completed our first clinical study, Study AP-LTX-400, of our lead Limitx immediate release oral abuse deterrent drug candidate using the opioid hydromorphone HCI (LTX-04). Study AP-LTX-400, or Study 400, was a two cohort, open label, crossover design pharmacokinetic study in healthy adult subjects. The FDA has designated the development program for LTX-04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We are also developing an immediate-release hydrocodone bitartrate with acetaminophen product utilizing our Limitx Technology.</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presented have been rounded to the nearest thousand, where indicated, except share and per share data. The equity amounts and all share and per share data of the Company have been retroactively adjusted to reflect a one-for-five reverse stock split effected by us on August 28,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At June 30, 2016, we had unrestricted cash, cash equivalents and marketable securities (after deduction of a $2.5 million compensating balance requirement under our term loan with Oxford) of $4.3 million, unrestricted working capital of $1.2 million, and an accumulated deficit of $374.0 million. We had a loss from operations of $6.2 million and a net loss of $6.7 million for the six months ended June 30, 2016.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7"/>
          <w:szCs w:val="17"/>
          <w:color w:val="auto"/>
        </w:rPr>
        <w:t>We estimate that our current unrestricted cash, cash equivalent and marketable securities will be sufficient to fund the development of our products utilizing our Limitx and Impede Technologies, the commercialization of our Nexafed products and our related operating expenses through November 2016 while maintaining compliance with the $2.5 million compensating balance requirement under our term loan with Oxford Finance LLC. At August 5, 2016, we had unrestricted cash, cash equivalents and marketable securities (after deduction of the $2.5 million compensating balance requirement under our term loan with Oxford) of $3.4 million.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May 2014 the Financial Accounting Standards Board (FASB) issued Accounting Standard Update (ASU)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(ASU 2014-09). ASU 2014-09 provides a comprehensive new recognition model that requires recognition of revenue when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transfers promised goods or services to customers in an amount that reflects the consideration to which the company expects to receive in exchange for those goods or services. This guidance supersedes the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and most industry-specific guidance. ASU 2014-09 defines a five-step process to achieve this core principle and, in doing so, companies will need to use more judgment and make more estimates than under the current guidance. It also requires additional disclosure about the nature, amount, timing, and uncertainty of revenue and cash flows arising from customer contracts. In August 2015, the FASB approved a one-year deferral of the effective date (ASU 2015-14) and the standard is now effective for the Company for fiscal 2019 and interim periods therein. ASU 2014-09 may be adopted as of the original effective date, which for the Company is fiscal 2018. The guidance may be applied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in March 2016, the FASB issued ASU Update 2016-08, </w:t>
      </w:r>
      <w:r>
        <w:rPr>
          <w:rFonts w:ascii="Arial" w:cs="Arial" w:eastAsia="Arial" w:hAnsi="Arial"/>
          <w:sz w:val="18"/>
          <w:szCs w:val="18"/>
          <w:i w:val="1"/>
          <w:iCs w:val="1"/>
          <w:color w:val="auto"/>
        </w:rPr>
        <w:t>Revenue from Contracts with Customers (Topic 606): Principal versus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 (Reporting Revenue Gross versus Net)</w:t>
      </w:r>
      <w:r>
        <w:rPr>
          <w:rFonts w:ascii="Arial" w:cs="Arial" w:eastAsia="Arial" w:hAnsi="Arial"/>
          <w:sz w:val="18"/>
          <w:szCs w:val="18"/>
          <w:color w:val="auto"/>
        </w:rPr>
        <w:t>. In April 2016, the FASB issued ASU 2016-10,</w:t>
      </w:r>
      <w:r>
        <w:rPr>
          <w:rFonts w:ascii="Arial" w:cs="Arial" w:eastAsia="Arial" w:hAnsi="Arial"/>
          <w:sz w:val="18"/>
          <w:szCs w:val="18"/>
          <w:i w:val="1"/>
          <w:iCs w:val="1"/>
          <w:color w:val="auto"/>
        </w:rPr>
        <w:t xml:space="preserve"> Revenue from Contracts with Customers (Topic 606): Identifying Performance Obligations and Licensing</w:t>
      </w:r>
      <w:r>
        <w:rPr>
          <w:rFonts w:ascii="Arial" w:cs="Arial" w:eastAsia="Arial" w:hAnsi="Arial"/>
          <w:sz w:val="18"/>
          <w:szCs w:val="18"/>
          <w:color w:val="auto"/>
        </w:rPr>
        <w:t>. In May 2016, the FASB issued ASU 2016-12,</w:t>
      </w:r>
      <w:r>
        <w:rPr>
          <w:rFonts w:ascii="Arial" w:cs="Arial" w:eastAsia="Arial" w:hAnsi="Arial"/>
          <w:sz w:val="18"/>
          <w:szCs w:val="18"/>
          <w:i w:val="1"/>
          <w:iCs w:val="1"/>
          <w:color w:val="auto"/>
        </w:rPr>
        <w:t xml:space="preserve"> Revenue from Contracts with Customers (Topic 606): Narrow-Scope Improvements and Practical Expedients </w:t>
      </w:r>
      <w:r>
        <w:rPr>
          <w:rFonts w:ascii="Arial" w:cs="Arial" w:eastAsia="Arial" w:hAnsi="Arial"/>
          <w:sz w:val="18"/>
          <w:szCs w:val="18"/>
          <w:color w:val="auto"/>
        </w:rPr>
        <w:t>and ASU 2016-11,</w:t>
      </w:r>
      <w:r>
        <w:rPr>
          <w:rFonts w:ascii="Arial" w:cs="Arial" w:eastAsia="Arial" w:hAnsi="Arial"/>
          <w:sz w:val="18"/>
          <w:szCs w:val="18"/>
          <w:i w:val="1"/>
          <w:iCs w:val="1"/>
          <w:color w:val="auto"/>
        </w:rPr>
        <w:t xml:space="preserve"> Revenue Recognition (Topic 605) and Derivatives and Hedging (Topic 815): Rescission of SEC Guidance Because of Accounting Standards Updates 2014-09 and 2014-16 Pursuant to Staff Announcements at the March 3, 2016 EITF Meeting</w:t>
      </w:r>
      <w:r>
        <w:rPr>
          <w:rFonts w:ascii="Arial" w:cs="Arial" w:eastAsia="Arial" w:hAnsi="Arial"/>
          <w:sz w:val="18"/>
          <w:szCs w:val="18"/>
          <w:color w:val="auto"/>
        </w:rPr>
        <w:t>. These amendments provide additional clarification and implementation guidance on the previously issued ASU 2014-09,</w:t>
      </w:r>
      <w:r>
        <w:rPr>
          <w:rFonts w:ascii="Arial" w:cs="Arial" w:eastAsia="Arial" w:hAnsi="Arial"/>
          <w:sz w:val="18"/>
          <w:szCs w:val="18"/>
          <w:i w:val="1"/>
          <w:iCs w:val="1"/>
          <w:color w:val="auto"/>
        </w:rPr>
        <w:t xml:space="preserve"> Revenue from Contracts with Customers (Topic 606)</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The amendments in ASU 2016-08 clarify how an entity should identify the specified good or service for the principal versus agent evaluation and how it should apply the control principle to certain types of arrangements. ASU 2016-10 clarifies the following two aspects of ASU 2014-09: identifying performance obligations and licensing implementation guidance. ASU 2016-11 rescinds several SEC Staff Announcements that are codified in Topic 605, including, among other items, guidance relating to accounting for consideration given by a vendor to a customer, as well as accounting for shipping and handling fees and freight services. ASU 2016-12 provides clarification to Topic 606 on how to assess collectability, present sales tax, treat noncash consideration, and account for completed and modified contracts at the time of transition. In addition, ASU 2016-12 clarifies that an entity retrospectively applying the guidance in Topic 606 is not required to disclose the effect of the accounting change in the period of adoption. The effective date and transition requirements for these amendments are the same as the effective date and transition requirements of ASU 2014-09, which is effective for fiscal years, and for interim periods within those years, beginning after December 15, 2018. The Company is currently assessing the impact of these ASUs on its results of operations, cash flows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Uncertainties about an Entity’s Ability to Continue as a Going Concern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which will explicitly require management to assess an entity’s ability to continue as a going concern and to provide related footnote disclosures in certain circumstances. Currently, there is no guidance in GAAP about management’s responsibility to evaluate whether there is substantial doubt about an entity’s ability to continue as a going concern or to provide related footnote disclosures. The amendments in this Update provide that guidance. In doing so, the amendments should reduce diversity in the timing and content of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The amendments in this update are effective for the first annual period ending after December 15, 2016, and for annual periods and interim periods thereafter. Early application is permitted. The Company is currently evaluating the impact of adopting this update on its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and we will pay for the remaining costs relating to (i) annual NDA PDUFA product fees, (ii) expenses of the FDA required post-marketing study for Oxaydo and (iii) expenses of clinical studies for product line extensions (additional strengths) of Oxaydo for the United States and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The Bayer Agreement also grants Bayer first right to negotiate a license to the Impede Technology for certain other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Bayer have formed a joint development committee to coordinate development of the Bayer Licensed Product. We will be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the Bayer Agreement with respect to each country expires when royalties are no longer payable with respect to such country. After expiration of the term Bayer retains a license to sell the Bayer Licensed Product on a royalty free basis. Either party may terminate the Bayer Agreement in its entirety if the other party materially breaches the Bayer Agreement, subject to an applicable cure period, or in the event the other party makes an assignment for the benefit of creditors, files a petition in bankruptcy or otherwise seeks relief under applicable bankruptcy laws. Bayer may terminate the Bayer Agreement immediately prior to completion of our development obligations or at any time upon six (6) months prior written notice thereafter. We may terminate the Bayer Agreement with respect to the U.S. if Bayer ceases or suspends development or commercialization of the Bayer Licensed Product for a certain period of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Terminated Pfizer Agreement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2007, we entered into License, Development and Commercialization Agreement for Oxaydo (named Oxecta® under a Pfizer trademark) and other Aversion opioid development products with King Pharmaceuticals Research and Development, Inc., which became a subsidiary of Pfizer in 2011 (the “Pfizer Agreement”). In April 2014, we entered into a letter agreement with Pfizer providing for the termination of the Pfizer Agreement and the return to us of Oxaydo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Oxaydo. During each of the six month periods ending June 30, 2016 and 2015, we recognized amortization expense on this intangible asset of $103 thousand. At June 30, 2016 the unamortized portion of the intangible asset was $1.5 million. We also purchased from Pfizer in April 2014 selected raw and packaging material inventories relating to Oxaydo for $260 thousand. During the six months ended 2015, we recorded a $260 thousand inventory obsolescence expense on these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7, 2015, we and Egalet entered into a Collaboration and License Agreement to commercialize Oxaydo tablets (formerly known as Oxecta) utilizing our Aversion® Technology. Egalet paid us $5.0 million upon signing the Egalet Agreement. The payment was non-refundable and non-creditable when made and we had no further requirements to earn the payment. The amount was recognized as revenue when received (see Note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Collaboration revenue is derived from reimbursement of development expenses, such as under the Bayer Agreement, and are recognized when costs are incurred pursuant to the agreement. The ongoing research and development services being provided under the collaboration are priced at fair value based upon the reimbursement of labor and expenses incurred pursuant to the collaboration agreements. During the three and six month periods ended June 30, 2016, we recognized collaboration revenue of $133 thousand and $233 thousand, respectively. We did not recognize any collaboration revenue during the same periods in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Egalet’s first commercial sale of Oxaydo occurred in October 2015. We recognized royalty revenue of $30 thousand and $47 thousand on Oxaydo net sales during the three and six month periods, respectively, ended June 30, 2016. We did not recognize any royalty revenue during the same periods in 2015. (see Note 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The Nexafed products currently have a shelf life of twenty-four months from the date of manufacture. Given the limited sales history of our Nexafed products, we could not reliably estimate expected returns of the product at the time of shipment to certain customers. During the first quarter of 2015, we determined we had obtained sufficient sales returns history to reasonably estimate future product returns from those customers. We recorded a one-time adjustment in the first quarter of 2015 to recognize revenue that had previously been deferred, resulting in additional net revenues of $314 thousand after recording a liability for sales returns of $120 thousand, and additional cost of sales of $255 thousand. We currently recognize revenue from our Nexafed product line when the price is fixed and determinable at the date of sale, title and risk of ownership have been transferred to the customer. At June 30, 2016 and December 31, 2015, we had a $263 thousand and $205 thousand sales returns liability, respectively, which is reviewed against sales returns activity each calendar quarter for adjustment.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the Nexafed product line during each of the six month periods ended June 30, 2016 and 2015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RESEARCH AND DEVELOPMENT ACTIVITIES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(“R&amp;D”) expenses may include internal R&amp;D activities, external Contract Research Organization (“CRO”) services and their clinical research sites, and other activities. Internal R&amp;D activity expenses may include facility overhead, equipment and facility maintenance and repairs, laboratory supplies, pre-clinical laboratory experiments, depreciation, salaries, benefits, and share-based compensation expenses. CRO activity expenses may include preclinical laboratory experiments and clinical trial studies. Other activity expenses may include regulatory services and consulting including our cost sharing expenses of clinical studies for product line extensions (additional strengths) of Oxaydo for the United States under the Egalet Agreement and our cost sharing expenses of the FDA required post-marketing study for Oxaydo under the Egalet Agreement,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December 2015, we entered into a $200 thousand cancelable arrangement for contract manufacturing services on a project to integrate Impede 2.0 Technology into our commercially available Nexafed 30mg tablet while moving supply to an alternate contract manufacturer. Approximately $65 thousand and $200 thousand of services remained to be performed under this agreement at June 30, 2016 and December 31, 2015, respectively. No service costs were prepaid under this agreement at either June 30, 2016 or December 31,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NOTE 7 - INVESTMENTS IN MARKETABLE SECURITIES</w:t>
            </w: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June 30, 2016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color w:val="auto"/>
                <w:w w:val="94"/>
              </w:rPr>
              <w:t>December 31, 2015</w:t>
            </w:r>
          </w:p>
        </w:tc>
      </w:tr>
      <w:tr>
        <w:trPr>
          <w:trHeight w:val="210"/>
        </w:trPr>
        <w:tc>
          <w:tcPr>
            <w:tcW w:w="1160" w:type="dxa"/>
            <w:vAlign w:val="bottom"/>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(in millions)</w:t>
            </w:r>
          </w:p>
        </w:tc>
        <w:tc>
          <w:tcPr>
            <w:tcW w:w="80" w:type="dxa"/>
            <w:vAlign w:val="bottom"/>
            <w:tcBorders>
              <w:bottom w:val="single" w:sz="8" w:color="CCEE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1840" w:type="dxa"/>
            <w:vAlign w:val="bottom"/>
            <w:gridSpan w:val="2"/>
          </w:tcPr>
          <w:p>
            <w:pPr>
              <w:jc w:val="right"/>
              <w:ind w:right="1075"/>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 - maturing after 1 year and less than two years</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6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75"/>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 meet our</w:t>
      </w:r>
      <w:r>
        <w:rPr>
          <w:rFonts w:ascii="Arial" w:cs="Arial" w:eastAsia="Arial" w:hAnsi="Arial"/>
          <w:sz w:val="18"/>
          <w:szCs w:val="18"/>
          <w:color w:val="auto"/>
        </w:rPr>
        <w:t xml:space="preserve"> </w:t>
      </w:r>
      <w:r>
        <w:rPr>
          <w:rFonts w:ascii="Arial" w:cs="Arial" w:eastAsia="Arial" w:hAnsi="Arial"/>
          <w:sz w:val="18"/>
          <w:szCs w:val="18"/>
          <w:color w:val="111111"/>
        </w:rPr>
        <w:t>working capital needs.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 Current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June 30, 2016</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3361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20"/>
              <w:spacing w:after="0" w:line="195" w:lineRule="exact"/>
              <w:rPr>
                <w:sz w:val="20"/>
                <w:szCs w:val="20"/>
                <w:color w:val="auto"/>
              </w:rPr>
            </w:pPr>
            <w:r>
              <w:rPr>
                <w:rFonts w:ascii="Arial" w:cs="Arial" w:eastAsia="Arial" w:hAnsi="Arial"/>
                <w:sz w:val="18"/>
                <w:szCs w:val="18"/>
                <w:color w:val="auto"/>
              </w:rPr>
              <w:t>Gross</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ind w:left="53"/>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421"/>
        </w:trPr>
        <w:tc>
          <w:tcPr>
            <w:tcW w:w="840" w:type="dxa"/>
            <w:vAlign w:val="bottom"/>
            <w:gridSpan w:val="2"/>
          </w:tcPr>
          <w:p>
            <w:pPr>
              <w:jc w:val="right"/>
              <w:ind w:right="657"/>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87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ind w:right="873"/>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8"/>
                <w:szCs w:val="18"/>
                <w:color w:val="auto"/>
              </w:rPr>
              <w:t>December 31, 2015</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8"/>
                <w:szCs w:val="18"/>
                <w:color w:val="auto"/>
              </w:rPr>
              <w:t>(in millions)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ind w:left="53"/>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425"/>
        </w:trPr>
        <w:tc>
          <w:tcPr>
            <w:tcW w:w="840" w:type="dxa"/>
            <w:vAlign w:val="bottom"/>
            <w:gridSpan w:val="2"/>
          </w:tcPr>
          <w:p>
            <w:pPr>
              <w:jc w:val="right"/>
              <w:ind w:right="657"/>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124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ind w:right="6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ind w:right="873"/>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-2014855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-1731645</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-582295</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-299720</wp:posOffset>
            </wp:positionV>
            <wp:extent cx="57975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180" w:space="720"/>
            <w:col w:w="6520"/>
          </w:cols>
          <w:pgMar w:left="240" w:top="908" w:right="239" w:bottom="1440" w:gutter="0" w:footer="0" w:header="0"/>
          <w:type w:val="continuous"/>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Our assets measured at fair value or disclosed at fair value on a recurring basis as at June 30, 2016 and December 31, 2015 consisted of the following:</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center"/>
              <w:ind w:left="96"/>
              <w:spacing w:after="0"/>
              <w:rPr>
                <w:sz w:val="20"/>
                <w:szCs w:val="20"/>
                <w:color w:val="auto"/>
              </w:rPr>
            </w:pPr>
            <w:r>
              <w:rPr>
                <w:rFonts w:ascii="Arial" w:cs="Arial" w:eastAsia="Arial" w:hAnsi="Arial"/>
                <w:sz w:val="18"/>
                <w:szCs w:val="18"/>
                <w:color w:val="auto"/>
                <w:w w:val="87"/>
              </w:rPr>
              <w:t>June 30, 2016</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center"/>
              <w:ind w:left="96"/>
              <w:spacing w:after="0"/>
              <w:rPr>
                <w:sz w:val="20"/>
                <w:szCs w:val="20"/>
                <w:color w:val="auto"/>
              </w:rPr>
            </w:pPr>
            <w:r>
              <w:rPr>
                <w:rFonts w:ascii="Arial" w:cs="Arial" w:eastAsia="Arial" w:hAnsi="Arial"/>
                <w:sz w:val="18"/>
                <w:szCs w:val="18"/>
                <w:color w:val="auto"/>
                <w:w w:val="96"/>
              </w:rPr>
              <w:t>(in millions)</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3</w:t>
            </w:r>
          </w:p>
        </w:tc>
        <w:tc>
          <w:tcPr>
            <w:tcW w:w="60" w:type="dxa"/>
            <w:vAlign w:val="bottom"/>
            <w:tcBorders>
              <w:bottom w:val="single" w:sz="8" w:color="CCEEFF"/>
            </w:tcBorders>
          </w:tcPr>
          <w:p>
            <w:pPr>
              <w:spacing w:after="0"/>
              <w:rPr>
                <w:sz w:val="19"/>
                <w:szCs w:val="19"/>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0" w:type="dxa"/>
            <w:vAlign w:val="bottom"/>
          </w:tcPr>
          <w:p>
            <w:pPr>
              <w:jc w:val="right"/>
              <w:ind w:right="636"/>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280" w:type="dxa"/>
            <w:vAlign w:val="bottom"/>
          </w:tcPr>
          <w:p>
            <w:pPr>
              <w:ind w:left="32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39"/>
        </w:trPr>
        <w:tc>
          <w:tcPr>
            <w:tcW w:w="32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left="96"/>
              <w:spacing w:after="0"/>
              <w:rPr>
                <w:sz w:val="20"/>
                <w:szCs w:val="20"/>
                <w:color w:val="auto"/>
              </w:rPr>
            </w:pPr>
            <w:r>
              <w:rPr>
                <w:rFonts w:ascii="Arial" w:cs="Arial" w:eastAsia="Arial" w:hAnsi="Arial"/>
                <w:sz w:val="18"/>
                <w:szCs w:val="18"/>
                <w:color w:val="auto"/>
                <w:w w:val="88"/>
              </w:rPr>
              <w:t>December 31, 2015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3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center"/>
              <w:ind w:left="96"/>
              <w:spacing w:after="0"/>
              <w:rPr>
                <w:sz w:val="20"/>
                <w:szCs w:val="20"/>
                <w:color w:val="auto"/>
              </w:rPr>
            </w:pPr>
            <w:r>
              <w:rPr>
                <w:rFonts w:ascii="Arial" w:cs="Arial" w:eastAsia="Arial" w:hAnsi="Arial"/>
                <w:sz w:val="18"/>
                <w:szCs w:val="18"/>
                <w:color w:val="auto"/>
                <w:w w:val="96"/>
              </w:rPr>
              <w:t>(in millions)</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3</w:t>
            </w:r>
          </w:p>
        </w:tc>
        <w:tc>
          <w:tcPr>
            <w:tcW w:w="60" w:type="dxa"/>
            <w:vAlign w:val="bottom"/>
            <w:tcBorders>
              <w:bottom w:val="single" w:sz="8" w:color="CCEEFF"/>
            </w:tcBorders>
          </w:tcPr>
          <w:p>
            <w:pPr>
              <w:spacing w:after="0"/>
              <w:rPr>
                <w:sz w:val="19"/>
                <w:szCs w:val="19"/>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tcPr>
          <w:p>
            <w:pPr>
              <w:jc w:val="right"/>
              <w:ind w:right="636"/>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8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7.3</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280" w:type="dxa"/>
            <w:vAlign w:val="bottom"/>
          </w:tcPr>
          <w:p>
            <w:pPr>
              <w:ind w:left="32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June 30, 2016 consisted of unrealized gains on securities of $26 thousand. Accumulated other comprehensive income (loss) at December 31, 2015 consisted of unrealized losses on securities of $65 thousand.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 INVENTORIES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Inventories consist of raw materials and finished goods on our Nexafed product at June 30, 2016. Inventories are stated at the lower of cost (first-in, first-out method) or market (net realizable value). We write down inventories to net realizable value based on forecasted demand and market conditions, which may differ from actual results. Our purchases of ingredients and other materials required in our development and clinical trial activities are expensed as incurred.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December 31,</w:t>
            </w:r>
          </w:p>
        </w:tc>
      </w:tr>
      <w:tr>
        <w:trPr>
          <w:trHeight w:val="230"/>
        </w:trPr>
        <w:tc>
          <w:tcPr>
            <w:tcW w:w="1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2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gridSpan w:val="6"/>
          </w:tcPr>
          <w:p>
            <w:pPr>
              <w:jc w:val="right"/>
              <w:ind w:right="75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Finished goods</w:t>
            </w:r>
          </w:p>
        </w:tc>
        <w:tc>
          <w:tcPr>
            <w:tcW w:w="10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0"/>
        </w:trPr>
        <w:tc>
          <w:tcPr>
            <w:tcW w:w="17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reserve for finished goods</w:t>
            </w:r>
          </w:p>
        </w:tc>
        <w:tc>
          <w:tcPr>
            <w:tcW w:w="100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17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inventory</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 activity during the six months ended June 30, 2016 and 2015 was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 balance at January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Reserve expense – raw and packaging materials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 expense – 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9"/>
                <w:szCs w:val="19"/>
                <w:color w:val="auto"/>
              </w:rPr>
            </w:pPr>
          </w:p>
        </w:tc>
      </w:tr>
      <w:tr>
        <w:trPr>
          <w:trHeight w:val="210"/>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Inventory destruction – raw and packaging materials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Inventory destruction - finished goods</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 balance at June 30,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PLANT AND EQUIPMENT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are stated at cost of $2,817 thousand and $2,754 thousand, less accumulated depreciation of $1,808 thousand and $1,741 thousand at June 30, 2016 and December 31, 2015, respectively. We have no leasehold improvements. Betterments are capitalized and maintenance and repairs are charged to operations as incurred. When a depreciable asset is retired from service, the cost and accumulated depreciation are removed from the respective accounts.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depreciation expense was $68 thousand and $59 thousand for the six month periods ended June 30, 2016 and 2015, respectively. Depreciation expense is recorded on a straight-line basis over the estimated useful lives of the related assets. The estimated useful lives of the major classification of depreciable assets 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Building and improvements</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4700" w:type="dxa"/>
            <w:vAlign w:val="bottom"/>
          </w:tcPr>
          <w:p>
            <w:pPr>
              <w:ind w:left="20"/>
              <w:spacing w:after="0"/>
              <w:rPr>
                <w:sz w:val="20"/>
                <w:szCs w:val="20"/>
                <w:color w:val="auto"/>
              </w:rPr>
            </w:pPr>
            <w:r>
              <w:rPr>
                <w:rFonts w:ascii="Arial" w:cs="Arial" w:eastAsia="Arial" w:hAnsi="Arial"/>
                <w:sz w:val="18"/>
                <w:szCs w:val="18"/>
                <w:color w:val="auto"/>
              </w:rPr>
              <w:t>- 40 years</w:t>
            </w:r>
          </w:p>
        </w:tc>
      </w:t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Land and improvements</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4700" w:type="dxa"/>
            <w:vAlign w:val="bottom"/>
          </w:tcPr>
          <w:p>
            <w:pPr>
              <w:ind w:left="20"/>
              <w:spacing w:after="0"/>
              <w:rPr>
                <w:sz w:val="20"/>
                <w:szCs w:val="20"/>
                <w:color w:val="auto"/>
              </w:rPr>
            </w:pPr>
            <w:r>
              <w:rPr>
                <w:rFonts w:ascii="Arial" w:cs="Arial" w:eastAsia="Arial" w:hAnsi="Arial"/>
                <w:sz w:val="18"/>
                <w:szCs w:val="18"/>
                <w:color w:val="auto"/>
              </w:rPr>
              <w:t>- 40 years</w:t>
            </w:r>
          </w:p>
        </w:tc>
      </w:t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Machinery and equipment</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470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16"/>
        </w:trPr>
        <w:tc>
          <w:tcPr>
            <w:tcW w:w="5440" w:type="dxa"/>
            <w:vAlign w:val="bottom"/>
          </w:tcPr>
          <w:p>
            <w:pPr>
              <w:ind w:left="2860"/>
              <w:spacing w:after="0"/>
              <w:rPr>
                <w:sz w:val="20"/>
                <w:szCs w:val="20"/>
                <w:color w:val="auto"/>
              </w:rPr>
            </w:pPr>
            <w:r>
              <w:rPr>
                <w:rFonts w:ascii="Arial" w:cs="Arial" w:eastAsia="Arial" w:hAnsi="Arial"/>
                <w:sz w:val="18"/>
                <w:szCs w:val="18"/>
                <w:color w:val="auto"/>
              </w:rPr>
              <w:t>Scientific equipment</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470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30"/>
        </w:trPr>
        <w:tc>
          <w:tcPr>
            <w:tcW w:w="5440" w:type="dxa"/>
            <w:vAlign w:val="bottom"/>
          </w:tcPr>
          <w:p>
            <w:pPr>
              <w:ind w:left="2860"/>
              <w:spacing w:after="0"/>
              <w:rPr>
                <w:sz w:val="20"/>
                <w:szCs w:val="20"/>
                <w:color w:val="auto"/>
              </w:rPr>
            </w:pPr>
            <w:r>
              <w:rPr>
                <w:rFonts w:ascii="Arial" w:cs="Arial" w:eastAsia="Arial" w:hAnsi="Arial"/>
                <w:sz w:val="18"/>
                <w:szCs w:val="18"/>
                <w:color w:val="auto"/>
                <w:w w:val="95"/>
              </w:rPr>
              <w:t>Computer hardware and software</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470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648"/>
        </w:trPr>
        <w:tc>
          <w:tcPr>
            <w:tcW w:w="5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14</w:t>
            </w: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NOTE 10 - ACCRUED EXPENSES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92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2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gridSpan w:val="6"/>
          </w:tcPr>
          <w:p>
            <w:pPr>
              <w:jc w:val="right"/>
              <w:ind w:right="75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Property taxes</w:t>
            </w: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10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fees and services</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CCEEFF"/>
            </w:tcBorders>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of June 30, 2016, we have made $3.0 million in principal payments on the Term Loan and the balance of term Loan is $7.0 million.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 The fair value of the warrants was determined using the Black-Scholes option-pricing model. Significant assumptions used in the Black-Scholes model were:</w:t>
      </w:r>
    </w:p>
    <w:p>
      <w:pPr>
        <w:spacing w:after="0" w:line="197"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Expected term (years)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a compensating balance requirement under which we are required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June 30, 2016, we have accrued and accumulated $477 thousand of additional interest.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Our debt is summarized below (in thousands):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Long-term</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116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Principal payments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116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80" w:type="dxa"/>
            <w:vAlign w:val="bottom"/>
          </w:tcPr>
          <w:p>
            <w:pPr>
              <w:spacing w:after="0"/>
              <w:rPr>
                <w:sz w:val="18"/>
                <w:szCs w:val="18"/>
                <w:color w:val="auto"/>
              </w:rPr>
            </w:pPr>
          </w:p>
        </w:tc>
      </w:tr>
      <w:tr>
        <w:trPr>
          <w:trHeight w:val="439"/>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Debt Discount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Long-term</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116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Modification of warrants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9"/>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Deferred Debt Issuance Costs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Long-term</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116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Amortization expense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1160" w:type="dxa"/>
            <w:vAlign w:val="bottom"/>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at June 30, 2016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for the three and six months ended June 30, 2016 and 2015 consisted of the following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gridSpan w:val="3"/>
          </w:tcPr>
          <w:p>
            <w:pPr>
              <w:jc w:val="right"/>
              <w:ind w:right="365"/>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3"/>
          </w:tcPr>
          <w:p>
            <w:pPr>
              <w:jc w:val="right"/>
              <w:ind w:right="305"/>
              <w:spacing w:after="0"/>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2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2015</w:t>
            </w:r>
          </w:p>
        </w:tc>
        <w:tc>
          <w:tcPr>
            <w:tcW w:w="100" w:type="dxa"/>
            <w:vAlign w:val="bottom"/>
            <w:tcBorders>
              <w:bottom w:val="single" w:sz="8" w:color="CCEEFF"/>
            </w:tcBorders>
          </w:tcPr>
          <w:p>
            <w:pPr>
              <w:spacing w:after="0"/>
              <w:rPr>
                <w:sz w:val="20"/>
                <w:szCs w:val="20"/>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84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7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30"/>
        </w:trPr>
        <w:tc>
          <w:tcPr>
            <w:tcW w:w="2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Debt issue costs</w:t>
            </w:r>
          </w:p>
        </w:tc>
        <w:tc>
          <w:tcPr>
            <w:tcW w:w="7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w w:val="92"/>
              </w:rPr>
              <w:t>The annual principal payments of the debt at June 30, 2016 are as follows:</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Annual</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gridSpan w:val="2"/>
            <w:vMerge w:val="restart"/>
          </w:tcPr>
          <w:p>
            <w:pPr>
              <w:ind w:left="2860"/>
              <w:spacing w:after="0"/>
              <w:rPr>
                <w:sz w:val="20"/>
                <w:szCs w:val="20"/>
                <w:color w:val="auto"/>
              </w:rPr>
            </w:pPr>
            <w:r>
              <w:rPr>
                <w:rFonts w:ascii="Arial" w:cs="Arial" w:eastAsia="Arial" w:hAnsi="Arial"/>
                <w:sz w:val="18"/>
                <w:szCs w:val="18"/>
                <w:color w:val="auto"/>
              </w:rPr>
              <w:t>Calendar Year</w:t>
            </w:r>
          </w:p>
        </w:tc>
        <w:tc>
          <w:tcPr>
            <w:tcW w:w="15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w w:val="92"/>
              </w:rPr>
              <w:t>Principal Payments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2"/>
              </w:rPr>
              <w:t>(in thousands)</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2017</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8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 EQUITY FINANCING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universal shelf registration statement on Form S-3 (File No. 333-210039) was declared effective by the U.S. Securities and Exchange Commission (“SEC”) on March 30, 2016. We may file with the SEC a prospectus supplement to our S-3 registration statement to sell common stock or other equity or debt securities, from time to time, in “registered direct” offerings, “at the market” offerings and certain other transactions. We expect that the net proceeds from such transactions, if any are completed, will be used for general corporate purposes, including working capital, research, development and marketing expenses, clinical trial expenditures and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common stock purchase warrants (“warrants”) exercisable for 60 thousand shares of our common stock having an exercise price of $2.52 per share (after giving effect to our one-for-five reverse stock split) with an expiration date in December 2020. See Note 11 for a discussion of the reduction of the exercise price of these warrants to $2.52 per share which were originally issued in connection with the issuance of the $10.0 million secured promissory notes in December 2013. These warrants contain a cashless exercise feature.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six month periods ended June 30, 2016 and 2015 is shown below (in thousands except price data):</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gridSpan w:val="3"/>
            <w:vMerge w:val="restart"/>
          </w:tcPr>
          <w:p>
            <w:pPr>
              <w:jc w:val="right"/>
              <w:ind w:right="45"/>
              <w:spacing w:after="0"/>
              <w:rPr>
                <w:sz w:val="20"/>
                <w:szCs w:val="20"/>
                <w:color w:val="auto"/>
              </w:rPr>
            </w:pPr>
            <w:r>
              <w:rPr>
                <w:rFonts w:ascii="Arial" w:cs="Arial" w:eastAsia="Arial" w:hAnsi="Arial"/>
                <w:sz w:val="18"/>
                <w:szCs w:val="18"/>
                <w:color w:val="auto"/>
              </w:rPr>
              <w:t>2016</w:t>
            </w: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w w:val="95"/>
              </w:rPr>
              <w:t>June 30,</w:t>
            </w:r>
          </w:p>
        </w:tc>
        <w:tc>
          <w:tcPr>
            <w:tcW w:w="136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2015</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WAvg</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WAvg</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Exercise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99"/>
              </w:rPr>
              <w:t>Number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Price</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60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ind w:left="320"/>
              <w:spacing w:after="0"/>
              <w:rPr>
                <w:sz w:val="20"/>
                <w:szCs w:val="20"/>
                <w:color w:val="auto"/>
              </w:rPr>
            </w:pPr>
            <w:r>
              <w:rPr>
                <w:rFonts w:ascii="Arial" w:cs="Arial" w:eastAsia="Arial" w:hAnsi="Arial"/>
                <w:sz w:val="18"/>
                <w:szCs w:val="18"/>
                <w:color w:val="auto"/>
              </w:rPr>
              <w:t>Issued</w:t>
            </w:r>
          </w:p>
        </w:tc>
        <w:tc>
          <w:tcPr>
            <w:tcW w:w="1020" w:type="dxa"/>
            <w:vAlign w:val="bottom"/>
          </w:tcPr>
          <w:p>
            <w:pPr>
              <w:spacing w:after="0"/>
              <w:rPr>
                <w:sz w:val="18"/>
                <w:szCs w:val="18"/>
                <w:color w:val="auto"/>
              </w:rPr>
            </w:pPr>
          </w:p>
        </w:tc>
        <w:tc>
          <w:tcPr>
            <w:tcW w:w="260" w:type="dxa"/>
            <w:vAlign w:val="bottom"/>
          </w:tcPr>
          <w:p>
            <w:pPr>
              <w:ind w:lef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Expired</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Modification</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320" w:type="dxa"/>
            <w:vAlign w:val="bottom"/>
          </w:tcPr>
          <w:p>
            <w:pPr>
              <w:ind w:left="80"/>
              <w:spacing w:after="0"/>
              <w:rPr>
                <w:sz w:val="20"/>
                <w:szCs w:val="20"/>
                <w:color w:val="auto"/>
              </w:rPr>
            </w:pPr>
            <w:r>
              <w:rPr>
                <w:rFonts w:ascii="Arial" w:cs="Arial" w:eastAsia="Arial" w:hAnsi="Arial"/>
                <w:sz w:val="18"/>
                <w:szCs w:val="18"/>
                <w:color w:val="auto"/>
              </w:rPr>
              <w:t>Outstanding, ending</w:t>
            </w:r>
          </w:p>
        </w:tc>
        <w:tc>
          <w:tcPr>
            <w:tcW w:w="10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60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all types of issued instruments comprised the following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20" w:type="dxa"/>
            <w:vAlign w:val="bottom"/>
            <w:gridSpan w:val="4"/>
          </w:tcPr>
          <w:p>
            <w:pPr>
              <w:jc w:val="right"/>
              <w:ind w:right="265"/>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60" w:type="dxa"/>
            <w:vAlign w:val="bottom"/>
            <w:gridSpan w:val="3"/>
          </w:tcPr>
          <w:p>
            <w:pPr>
              <w:jc w:val="right"/>
              <w:ind w:right="705"/>
              <w:spacing w:after="0"/>
              <w:rPr>
                <w:sz w:val="20"/>
                <w:szCs w:val="20"/>
                <w:color w:val="auto"/>
              </w:rPr>
            </w:pPr>
            <w:r>
              <w:rPr>
                <w:rFonts w:ascii="Arial" w:cs="Arial" w:eastAsia="Arial" w:hAnsi="Arial"/>
                <w:sz w:val="18"/>
                <w:szCs w:val="18"/>
                <w:color w:val="auto"/>
              </w:rPr>
              <w:t>June 30,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jc w:val="right"/>
              <w:ind w:right="65"/>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80" w:type="dxa"/>
            <w:vAlign w:val="bottom"/>
            <w:gridSpan w:val="2"/>
          </w:tcPr>
          <w:p>
            <w:pPr>
              <w:jc w:val="right"/>
              <w:ind w:right="41"/>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8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780" w:type="dxa"/>
            <w:vAlign w:val="bottom"/>
            <w:gridSpan w:val="2"/>
          </w:tcPr>
          <w:p>
            <w:pPr>
              <w:jc w:val="right"/>
              <w:ind w:right="80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8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Subtotal</w:t>
            </w:r>
          </w:p>
        </w:tc>
        <w:tc>
          <w:tcPr>
            <w:tcW w:w="8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80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780" w:type="dxa"/>
            <w:vAlign w:val="bottom"/>
            <w:gridSpan w:val="2"/>
            <w:shd w:val="clear" w:color="auto" w:fill="CCEEFF"/>
          </w:tcPr>
          <w:p>
            <w:pPr>
              <w:jc w:val="right"/>
              <w:ind w:right="80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180" w:type="dxa"/>
            <w:vAlign w:val="bottom"/>
            <w:gridSpan w:val="2"/>
            <w:shd w:val="clear" w:color="auto" w:fill="CCEEFF"/>
          </w:tcPr>
          <w:p>
            <w:pPr>
              <w:jc w:val="right"/>
              <w:ind w:right="80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w:t>
            </w:r>
          </w:p>
        </w:tc>
        <w:tc>
          <w:tcPr>
            <w:tcW w:w="8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Subtotal</w:t>
            </w:r>
          </w:p>
        </w:tc>
        <w:tc>
          <w:tcPr>
            <w:tcW w:w="8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two stock option plans in effect, and one stock option plan has expired by its terms, but pursuant to which stock options have been granted and remain outstanding. Our stock option award activity during the six month periods ended June 30, 2016 and 2015 is shown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Six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540" w:type="dxa"/>
            <w:vAlign w:val="bottom"/>
            <w:gridSpan w:val="3"/>
            <w:vMerge w:val="restart"/>
          </w:tcPr>
          <w:p>
            <w:pPr>
              <w:jc w:val="right"/>
              <w:ind w:right="5"/>
              <w:spacing w:after="0"/>
              <w:rPr>
                <w:sz w:val="20"/>
                <w:szCs w:val="20"/>
                <w:color w:val="auto"/>
              </w:rPr>
            </w:pPr>
            <w:r>
              <w:rPr>
                <w:rFonts w:ascii="Arial" w:cs="Arial" w:eastAsia="Arial" w:hAnsi="Arial"/>
                <w:sz w:val="18"/>
                <w:szCs w:val="18"/>
                <w:color w:val="auto"/>
              </w:rPr>
              <w:t>2016</w:t>
            </w:r>
          </w:p>
        </w:tc>
        <w:tc>
          <w:tcPr>
            <w:tcW w:w="1400" w:type="dxa"/>
            <w:vAlign w:val="bottom"/>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132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2015</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Average</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Number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8"/>
                <w:szCs w:val="18"/>
                <w:color w:val="auto"/>
                <w:w w:val="86"/>
              </w:rPr>
              <w:t>Exercise</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(000’s)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260"/>
              <w:spacing w:after="0"/>
              <w:rPr>
                <w:sz w:val="20"/>
                <w:szCs w:val="20"/>
                <w:color w:val="auto"/>
              </w:rPr>
            </w:pPr>
            <w:r>
              <w:rPr>
                <w:rFonts w:ascii="Arial" w:cs="Arial" w:eastAsia="Arial" w:hAnsi="Arial"/>
                <w:sz w:val="18"/>
                <w:szCs w:val="18"/>
                <w:color w:val="auto"/>
              </w:rPr>
              <w:t>Price</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(000’s)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Forfeited or expired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Options exercisable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was no intrinsic value of option awards which were vested and outstanding at June 30, 2016. The intrinsic value of the option awards which were vested and outstanding at December 31, 2015 was $6 thousand. The total remaining unrecognized compensation cost on unvested option awards outstanding at June 30, 2016 was $471 thousand, and is expected to be recognized in operating expense over the 17 months remaining in the requisite service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Restricted Stock Unit Award Plan (the “2014 RSU Plan”)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the grants under the RSU Plans consisted of the following:</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tcPr>
          <w:p>
            <w:pPr>
              <w:jc w:val="right"/>
              <w:ind w:right="400"/>
              <w:spacing w:after="0"/>
              <w:rPr>
                <w:sz w:val="20"/>
                <w:szCs w:val="20"/>
                <w:color w:val="auto"/>
              </w:rPr>
            </w:pPr>
            <w:r>
              <w:rPr>
                <w:rFonts w:ascii="Arial" w:cs="Arial" w:eastAsia="Arial" w:hAnsi="Arial"/>
                <w:sz w:val="18"/>
                <w:szCs w:val="18"/>
                <w:color w:val="auto"/>
                <w:w w:val="89"/>
              </w:rPr>
              <w:t>Six months Ended June 30,</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color w:val="auto"/>
              </w:rPr>
              <w:t>(in thousands)</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3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Number of</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5"/>
              </w:rPr>
              <w:t>Number of</w:t>
            </w:r>
          </w:p>
        </w:tc>
        <w:tc>
          <w:tcPr>
            <w:tcW w:w="6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300" w:type="dxa"/>
            <w:vAlign w:val="bottom"/>
            <w:gridSpan w:val="3"/>
          </w:tcPr>
          <w:p>
            <w:pPr>
              <w:ind w:left="200"/>
              <w:spacing w:after="0"/>
              <w:rPr>
                <w:sz w:val="20"/>
                <w:szCs w:val="20"/>
                <w:color w:val="auto"/>
              </w:rPr>
            </w:pPr>
            <w:r>
              <w:rPr>
                <w:rFonts w:ascii="Arial" w:cs="Arial" w:eastAsia="Arial" w:hAnsi="Arial"/>
                <w:sz w:val="18"/>
                <w:szCs w:val="18"/>
                <w:color w:val="auto"/>
              </w:rPr>
              <w:t>Number</w:t>
            </w: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Vested</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Number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r>
      <w:tr>
        <w:trPr>
          <w:trHeight w:val="230"/>
        </w:trPr>
        <w:tc>
          <w:tcPr>
            <w:tcW w:w="3280" w:type="dxa"/>
            <w:vAlign w:val="bottom"/>
          </w:tcPr>
          <w:p>
            <w:pPr>
              <w:spacing w:after="0"/>
              <w:rPr>
                <w:sz w:val="20"/>
                <w:szCs w:val="20"/>
                <w:color w:val="auto"/>
              </w:rPr>
            </w:pPr>
          </w:p>
        </w:tc>
        <w:tc>
          <w:tcPr>
            <w:tcW w:w="1300" w:type="dxa"/>
            <w:vAlign w:val="bottom"/>
            <w:gridSpan w:val="3"/>
          </w:tcPr>
          <w:p>
            <w:pPr>
              <w:ind w:left="220"/>
              <w:spacing w:after="0"/>
              <w:rPr>
                <w:sz w:val="20"/>
                <w:szCs w:val="20"/>
                <w:color w:val="auto"/>
              </w:rPr>
            </w:pPr>
            <w:r>
              <w:rPr>
                <w:rFonts w:ascii="Arial" w:cs="Arial" w:eastAsia="Arial" w:hAnsi="Arial"/>
                <w:sz w:val="18"/>
                <w:szCs w:val="18"/>
                <w:color w:val="auto"/>
              </w:rPr>
              <w:t>of RSUs</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RSUs</w:t>
            </w: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RSUs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RSUs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328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280" w:type="dxa"/>
            <w:vAlign w:val="bottom"/>
          </w:tcPr>
          <w:p>
            <w:pPr>
              <w:ind w:left="32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30"/>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 or expired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Outstanding, ending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2014 RSU Plan was approved by shareholders on May 1, 2014 and permits the grant of up to 400 thousand shares of our common stock pursuant to awards under the 2014 RSU Plan. As of June 30, 2016, 242 thousand shares are available for award under the 2014 RSU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RSU grants under the 2014 RSU Plan is as follows:</w:t>
      </w:r>
    </w:p>
    <w:p>
      <w:pPr>
        <w:spacing w:after="0" w:line="23" w:lineRule="exact"/>
        <w:rPr>
          <w:sz w:val="20"/>
          <w:szCs w:val="20"/>
          <w:color w:val="auto"/>
        </w:rPr>
      </w:pPr>
    </w:p>
    <w:p>
      <w:pPr>
        <w:jc w:val="both"/>
        <w:ind w:left="500" w:hanging="168"/>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2, 2015, we awarded approximately 10.3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and the liability recorded in the Company’s balance sheet was $45 thousand at December 31, 2015. Distributions of stock under the January 2, 2015 award could not be deferred until a later date and the stock under such awards was distributed on January 4, 2016.</w:t>
      </w:r>
    </w:p>
    <w:p>
      <w:pPr>
        <w:spacing w:after="0" w:line="2" w:lineRule="exact"/>
        <w:rPr>
          <w:rFonts w:ascii="Arial" w:cs="Arial" w:eastAsia="Arial" w:hAnsi="Arial"/>
          <w:sz w:val="18"/>
          <w:szCs w:val="18"/>
          <w:color w:val="auto"/>
        </w:rPr>
      </w:pPr>
    </w:p>
    <w:p>
      <w:pPr>
        <w:jc w:val="both"/>
        <w:ind w:left="500" w:hanging="168"/>
        <w:spacing w:after="0" w:line="271"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January 4, 2016, we awarded approximately 22.0 thousand RSUs to each of our 4 non-employee directors which also allow for them to receive payment in cash, instead of stock, for up to 40% of each RSU award. Such awards vest 25% at the end of each calendar quarter in 2016. The RSU awards subject to cash settlement are subject to marked-to market accounting and the liability recorded in the Company’s balance sheet was $34 thousand at June 30, 2016. Distributions of stock under the January 4, 2016 award are generally distributed on the first business day of the year after vesting, but such distribution can be deferred until a later date at the election of the non-employee director.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3" w:lineRule="exact"/>
        <w:rPr>
          <w:sz w:val="20"/>
          <w:szCs w:val="20"/>
          <w:color w:val="auto"/>
        </w:rPr>
      </w:pPr>
    </w:p>
    <w:p>
      <w:pPr>
        <w:ind w:left="500" w:right="20" w:hanging="168"/>
        <w:spacing w:after="0" w:line="28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January 2, 2015, 25.8 thousand RSUs from the May 1, 2014 award were distributed and 3.6 thousand RSUs were deferred until a future distribution date. Of the 25.8 thousand RSUs distributed, 19.8 thousand RSUs were distributed in common stock and 6 thousand RSUs were settled in cash.</w:t>
      </w:r>
    </w:p>
    <w:p>
      <w:pPr>
        <w:spacing w:after="0" w:line="1" w:lineRule="exact"/>
        <w:rPr>
          <w:rFonts w:ascii="Arial" w:cs="Arial" w:eastAsia="Arial" w:hAnsi="Arial"/>
          <w:sz w:val="16"/>
          <w:szCs w:val="16"/>
          <w:color w:val="auto"/>
        </w:rPr>
      </w:pPr>
    </w:p>
    <w:p>
      <w:pPr>
        <w:jc w:val="both"/>
        <w:ind w:left="500" w:hanging="168"/>
        <w:spacing w:after="0" w:line="277"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January 4, 2016, 41.2 thousand RSUs from the January 2, 2015 award were distributed and 1.2 thousand RSUs from the May 1, 2014 award were distributed. Approximately 2.4 thousand RSUs from the May 1, 2014 award are being deferred until a future distribution date. Of the 42.4 thousand RSUs distributed, 32.8 thousand RSUs were distributed in common stock and 9.6 thousand RSUs were settled for $23.8 thousand.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2016 and December 31, 2015,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$52.8 million federal income tax benefits at December 31, 2015 derived from $155.2 million Federal NOLs at the U.S. statutory tax rate of 34% and $2.0 million state NOLs, available to offset future taxable income, some of which already have limitations for future use as prescribed under IRC Section 382. Our Federal and state NOLs will expire in varying amounts between 2016 and 2035 if not used, and those expirations will cause fluctuations in our valuation allowances. As of December 31, 2015, we had federal research and development tax credits of approximately $1.2 million, which expire in the years 2024 through 2034. We also had approximately $0.2 million of Indiana state research and development tax credits, which expire in the years 2016 and 2017.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16 - EARNINGS PER SHARE (“EPS”)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Restricted Stock Units (“RSUs”) (see Note 14).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2016 and 2015 as the Company reported a net loss for both the six month and three month periods ending June 30 and including the effects of 1.3 million and 1.0 million common stock equivalents from those periods in the diluted EPS calculations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5"/>
          </w:tcPr>
          <w:p>
            <w:pPr>
              <w:jc w:val="right"/>
              <w:ind w:right="305"/>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40" w:type="dxa"/>
            <w:vAlign w:val="bottom"/>
            <w:gridSpan w:val="4"/>
          </w:tcPr>
          <w:p>
            <w:pPr>
              <w:jc w:val="right"/>
              <w:ind w:right="725"/>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4"/>
          </w:tcPr>
          <w:p>
            <w:pPr>
              <w:jc w:val="right"/>
              <w:ind w:right="265"/>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Numerator: net loss</w:t>
            </w:r>
          </w:p>
        </w:tc>
        <w:tc>
          <w:tcPr>
            <w:tcW w:w="3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(3,288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11,834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11,833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RSUs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Basic and diluted weighted average shares outstanding</w:t>
            </w:r>
          </w:p>
        </w:tc>
        <w:tc>
          <w:tcPr>
            <w:tcW w:w="3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11,858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 (non-weighted):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Common shares issuable:</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Nonvested RSUs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Total excluded common shares</w:t>
            </w:r>
          </w:p>
        </w:tc>
        <w:tc>
          <w:tcPr>
            <w:tcW w:w="38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Complaints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action, over 200 lawsuits have been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Acura. We discontinued manufacture and distribution of generic metoclopramide more than 19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Acura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7"/>
          <w:szCs w:val="17"/>
          <w:i w:val="1"/>
          <w:iCs w:val="1"/>
          <w:color w:val="auto"/>
        </w:rPr>
        <w:t>Teva Pharmaceuticals USA, Inc. et al. v. Dorothy</w:t>
      </w:r>
      <w:r>
        <w:rPr>
          <w:rFonts w:ascii="Arial" w:cs="Arial" w:eastAsia="Arial" w:hAnsi="Arial"/>
          <w:sz w:val="17"/>
          <w:szCs w:val="17"/>
          <w:color w:val="auto"/>
        </w:rPr>
        <w:t xml:space="preserve"> </w:t>
      </w:r>
      <w:r>
        <w:rPr>
          <w:rFonts w:ascii="Arial" w:cs="Arial" w:eastAsia="Arial" w:hAnsi="Arial"/>
          <w:sz w:val="17"/>
          <w:szCs w:val="17"/>
          <w:i w:val="1"/>
          <w:iCs w:val="1"/>
          <w:color w:val="auto"/>
        </w:rPr>
        <w:t>Bentley, et al.</w:t>
      </w:r>
      <w:r>
        <w:rPr>
          <w:rFonts w:ascii="Arial" w:cs="Arial" w:eastAsia="Arial" w:hAnsi="Arial"/>
          <w:sz w:val="17"/>
          <w:szCs w:val="17"/>
          <w:color w:val="auto"/>
        </w:rPr>
        <w:t>, No. 14-711 (U.S.) seeking reversal of the Pennsylvania state court decision. On April 27, 2015, the U.S. Supreme Court denied this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this matter has been returned to the trial court for further proceedings. From July, 2015 to date, the court has been moving forward with procedural steps to narrow this litigation, including requests for plaintiffs to voluntarily discontinue cases, such as those filed against Acura, where there is no case-specific product identification. Acura is optimistic that all of these Philadelphia cases will eventually be dismissed against it based upon the favorable aspects of the Superior Court’s narrow preemption ruling and lack of product identification, although there can be no assurance in this regard. Legal fees related to this matter are currently covered by Acura’s insurance carrier.</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7"/>
          <w:szCs w:val="17"/>
          <w:i w:val="1"/>
          <w:iCs w:val="1"/>
          <w:color w:val="auto"/>
        </w:rPr>
        <w:t xml:space="preserve">Bartlett </w:t>
      </w:r>
      <w:r>
        <w:rPr>
          <w:rFonts w:ascii="Arial" w:cs="Arial" w:eastAsia="Arial" w:hAnsi="Arial"/>
          <w:sz w:val="17"/>
          <w:szCs w:val="17"/>
          <w:color w:val="auto"/>
        </w:rPr>
        <w:t>decision. Thus far, Acura and most Generic Defendants have not been required to file answers or other responsive pleadings in each individual case</w:t>
      </w:r>
      <w:r>
        <w:rPr>
          <w:rFonts w:ascii="Arial" w:cs="Arial" w:eastAsia="Arial" w:hAnsi="Arial"/>
          <w:sz w:val="17"/>
          <w:szCs w:val="17"/>
          <w:i w:val="1"/>
          <w:iCs w:val="1"/>
          <w:color w:val="auto"/>
        </w:rPr>
        <w:t xml:space="preserve"> </w:t>
      </w:r>
      <w:r>
        <w:rPr>
          <w:rFonts w:ascii="Arial" w:cs="Arial" w:eastAsia="Arial" w:hAnsi="Arial"/>
          <w:sz w:val="17"/>
          <w:szCs w:val="17"/>
          <w:color w:val="auto"/>
        </w:rPr>
        <w:t>in which they are named defendants. On May 24, 2016, the Court entered an Order approving a stipulation which stays the individual cases against Acura and provides for an agreed upon dismissal protocol for all cases where is a lack of product identification. To date, none of these plaintiffs have confirmed they ingested any of the generic metoclopramide manufactured by Acura. Therefore, we expect that the lawsuits filed by most, if not all, plaintiffs will be dismissed voluntarily. Action will be taken in an effort to dismiss Acura from these cases, although there can be no assurance in this regard. Legal fees related to this matter are currently covered by our insurance carrier.</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June 30, 2016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and we will pay for the other remaining portion of costs relating to (i) annual NDA PDUFA product fees, (ii) expenses of the FDA required post-marketing study for Oxaydo and (iii) expenses of clinical studies for product line extensions (additional strengths) of Oxaydo for the United States and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June 30, 2016, we have accrued approximately $100 thousand of cost sharing expenses of clinical studies for product line extensions (additional strengths) of Oxaydo for the United States under the Egalet Agreement and approximately $200 thousand of cost sharing expenses of the FDA required post-marketing study for Oxaydo under the Egalet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2017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LTX-04, the date by which such study results will be available and whether LTX-04 will ultimately receive FDA approval;</w:t>
      </w: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be able to reformulate LTX-04 to provide an efficacious level of drug when one or two tablets are taken;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be able to reformulate LTX-04 to improve its abuse deterrent performance;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labeling describing abuse deterrent features;</w:t>
      </w: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can successfully develop a product under our agreement with Bayer;</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pharmacies to stock our Nexafed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left="500" w:hanging="168"/>
        <w:spacing w:after="0" w:line="25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2"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right="20" w:hanging="168"/>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ind w:left="500" w:hanging="168"/>
        <w:spacing w:after="0" w:line="261"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2015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We launched our first Impede Technology product, Nexafed, into the United States market in December 2012 and launched our Nexafed Sinus Pressure + 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We have completed our first clinical study, Study AP-LTX-400, of our lead Limitx immediate release oral abuse deterrent drug candidate using the opioid hydromorphone HCI (LTX-04). Study AP-LTX-400, or Study 400, was a two cohort, open label, crossover design pharmacokinetic study in healthy adult subjects. The FDA has designated the LTX-04 development program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We are also developing an immediate-release hydrocodone bitartrate with acetaminophen product utilizing our Limitx Technology.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jc w:val="both"/>
        <w:spacing w:after="0" w:line="290" w:lineRule="auto"/>
        <w:rPr>
          <w:sz w:val="20"/>
          <w:szCs w:val="20"/>
          <w:color w:val="auto"/>
        </w:rPr>
      </w:pPr>
      <w:r>
        <w:rPr>
          <w:rFonts w:ascii="Arial" w:cs="Arial" w:eastAsia="Arial" w:hAnsi="Arial"/>
          <w:sz w:val="16"/>
          <w:szCs w:val="16"/>
          <w:color w:val="auto"/>
        </w:rPr>
        <w:t>Opioid analgesics are one of the largest prescription drug markets in the United States with 234 million prescriptions dispensed in 2015.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2015, sales in the immediate-release opioid product segment were approximately 219 million prescriptions and $2.9 billion, of which approximately 98% was attributable to generic products. Immediate-release oxycodone tablets represent 19.3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71 sales representatives promoting Oxaydo to a target group of approximately 11,500 opioid prescribing physicians.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20%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2015, we announced preliminary top line results from our pilot clinical study demonstrating bioequivalence of our Nexafed extended release tablets to Johnson &amp; Johnson’s Sudafed® 12-hour Tablets. Nexafed extended release tablets utilize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right="20" w:hanging="248"/>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Abuse deterrent formulations of opioid dosages incorporate physical and/or chemical barriers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Development of our Limitx and Aversion (if recommenced) product candidates will require one or more abuse deterrent studies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Limitx Technology is intended to address a oral ETA or accidental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We have initiated formulation development of a hydrocodone/APAP product candidate utilizing our Limitx Technology (LTX-03). In August 2015, the United States Patent and Trademark Office (“USPTO”) issued to us patent 9,101,636 covering, among other things, our Limitx Technology.</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Development of our Limitx Technology is being supported by a $300 thousand grant (the “Grant”) by the National Institute on Drug Abuse (“NIDA”) of the National Institutes of Health for Phase I development, which entailed the development of an optimized formulation of LTX-04 suitable for commercial manufacture and human testing. In Phase II, we are performing human pharmacokinetic testing of LTX-04 to characterize the release of drug in vivo. NIDA funding of Phase II development, for which an application has been submitted, will be contingent upon (1) assessment by NIDA of the Phase I progress report and its determination that the Phase I milestones were achieved, (2) review and approval of other documents necessary for continuation, and (3) availability of NIDA funds. No assurance can be given that Phase II development funding will be provided by NIDA, but we plan to progress our clinical studies regardless of NIDA funding. We have submitted data on Phase I development of LTX-04 to NIDA for consideration in approving the Phase II grant, of which no assurance can be given of the grant for Phase II.</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Phase I and possibly Phase II research on LTX-04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LTX-04 development program is also designated as Fast Track by the FDA for its potential to address an unmet medical need.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Limitx Technology Product</w:t>
            </w: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Status</w:t>
            </w: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Immediate-release hydromorphone HCI (LTX-04)</w:t>
            </w:r>
          </w:p>
        </w:tc>
        <w:tc>
          <w:tcPr>
            <w:tcW w:w="5600" w:type="dxa"/>
            <w:vAlign w:val="bottom"/>
          </w:tcPr>
          <w:p>
            <w:pPr>
              <w:spacing w:after="0"/>
              <w:rPr>
                <w:sz w:val="20"/>
                <w:szCs w:val="20"/>
                <w:color w:val="auto"/>
              </w:rPr>
            </w:pPr>
            <w:r>
              <w:rPr>
                <w:rFonts w:ascii="Arial" w:cs="Arial" w:eastAsia="Arial" w:hAnsi="Arial"/>
                <w:sz w:val="18"/>
                <w:szCs w:val="18"/>
                <w:color w:val="auto"/>
              </w:rPr>
              <w:t>Phase I exploratory pharmacokinetic study completed</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Immediate-release hydrocodone bitartrate with acetaminophen (LTX-03)</w:t>
            </w:r>
          </w:p>
        </w:tc>
        <w:tc>
          <w:tcPr>
            <w:tcW w:w="5600" w:type="dxa"/>
            <w:vAlign w:val="bottom"/>
          </w:tcPr>
          <w:p>
            <w:pPr>
              <w:spacing w:after="0"/>
              <w:rPr>
                <w:sz w:val="20"/>
                <w:szCs w:val="20"/>
                <w:color w:val="auto"/>
              </w:rPr>
            </w:pPr>
            <w:r>
              <w:rPr>
                <w:rFonts w:ascii="Arial" w:cs="Arial" w:eastAsia="Arial" w:hAnsi="Arial"/>
                <w:sz w:val="18"/>
                <w:szCs w:val="18"/>
                <w:color w:val="auto"/>
              </w:rPr>
              <w:t>Formulation development in process</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Immediate-release oxycodone HCl (LTX-01) &amp; (LTX-02)</w:t>
            </w:r>
          </w:p>
        </w:tc>
        <w:tc>
          <w:tcPr>
            <w:tcW w:w="5600" w:type="dxa"/>
            <w:vAlign w:val="bottom"/>
          </w:tcPr>
          <w:p>
            <w:pPr>
              <w:spacing w:after="0"/>
              <w:rPr>
                <w:sz w:val="20"/>
                <w:szCs w:val="20"/>
                <w:color w:val="auto"/>
              </w:rPr>
            </w:pPr>
            <w:r>
              <w:rPr>
                <w:rFonts w:ascii="Arial" w:cs="Arial" w:eastAsia="Arial" w:hAnsi="Arial"/>
                <w:sz w:val="18"/>
                <w:szCs w:val="18"/>
                <w:color w:val="auto"/>
              </w:rPr>
              <w:t>Formulation development in process</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LTX-04 clinical study, Study AP-LTX-400, or 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topline interim results from Study 400 test formulation LTX-04P, successfully demonstrated the release of the active opioid ingredient was reduced when three or more intact tablets were ingested, but that additional formulation development will be required for LTX-04P to deliver a sufficient amount of the active ingredient to patients when one or two tablets are administered. Specifically, the topline interim results of Study 400 demonstrated:</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Subjects in Study 400 had an average 22% reduction in relative Cmax when 3 or more tablets were ingested as shown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1"/>
              </w:rPr>
              <w:t>Study 400 – Mean Ratio of Cmax (ng/mL) by Dosing Group</w:t>
            </w:r>
          </w:p>
        </w:tc>
        <w:tc>
          <w:tcPr>
            <w:tcW w:w="1720" w:type="dxa"/>
            <w:vAlign w:val="bottom"/>
          </w:tcPr>
          <w:p>
            <w:pPr>
              <w:spacing w:after="0"/>
              <w:rPr>
                <w:sz w:val="18"/>
                <w:szCs w:val="18"/>
                <w:color w:val="auto"/>
              </w:rPr>
            </w:pPr>
          </w:p>
        </w:tc>
      </w:tr>
      <w:tr>
        <w:trPr>
          <w:trHeight w:val="220"/>
        </w:trPr>
        <w:tc>
          <w:tcPr>
            <w:tcW w:w="800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1"/>
              </w:rPr>
              <w:t>Compared to the 1 Tablet Group for the Same Formulation</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900" w:type="dxa"/>
            <w:vAlign w:val="bottom"/>
          </w:tcPr>
          <w:p>
            <w:pPr>
              <w:ind w:left="3760"/>
              <w:spacing w:after="0"/>
              <w:rPr>
                <w:sz w:val="20"/>
                <w:szCs w:val="20"/>
                <w:color w:val="auto"/>
              </w:rPr>
            </w:pPr>
            <w:r>
              <w:rPr>
                <w:rFonts w:ascii="Arial" w:cs="Arial" w:eastAsia="Arial" w:hAnsi="Arial"/>
                <w:sz w:val="18"/>
                <w:szCs w:val="18"/>
                <w:color w:val="auto"/>
              </w:rPr>
              <w:t>Dosing in mg</w:t>
            </w:r>
          </w:p>
        </w:tc>
        <w:tc>
          <w:tcPr>
            <w:tcW w:w="540" w:type="dxa"/>
            <w:vAlign w:val="bottom"/>
          </w:tcPr>
          <w:p>
            <w:pPr>
              <w:spacing w:after="0"/>
              <w:rPr>
                <w:sz w:val="20"/>
                <w:szCs w:val="20"/>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DILAUDID</w:t>
            </w:r>
          </w:p>
        </w:tc>
        <w:tc>
          <w:tcPr>
            <w:tcW w:w="1700" w:type="dxa"/>
            <w:vAlign w:val="bottom"/>
          </w:tcPr>
          <w:p>
            <w:pPr>
              <w:spacing w:after="0"/>
              <w:rPr>
                <w:sz w:val="20"/>
                <w:szCs w:val="20"/>
                <w:color w:val="auto"/>
              </w:rPr>
            </w:pPr>
            <w:r>
              <w:rPr>
                <w:rFonts w:ascii="Arial" w:cs="Arial" w:eastAsia="Arial" w:hAnsi="Arial"/>
                <w:sz w:val="18"/>
                <w:szCs w:val="18"/>
                <w:color w:val="auto"/>
              </w:rPr>
              <w:t>LTX-04P</w:t>
            </w: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Change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 Tablet Group</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2x</w:t>
            </w:r>
          </w:p>
        </w:tc>
        <w:tc>
          <w:tcPr>
            <w:tcW w:w="25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1.9x</w:t>
            </w:r>
          </w:p>
        </w:tc>
        <w:tc>
          <w:tcPr>
            <w:tcW w:w="1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2.2x</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3 Tablet Group</w:t>
            </w:r>
          </w:p>
        </w:tc>
        <w:tc>
          <w:tcPr>
            <w:tcW w:w="540" w:type="dxa"/>
            <w:vAlign w:val="bottom"/>
          </w:tcPr>
          <w:p>
            <w:pPr>
              <w:ind w:left="180"/>
              <w:spacing w:after="0"/>
              <w:rPr>
                <w:sz w:val="20"/>
                <w:szCs w:val="20"/>
                <w:color w:val="auto"/>
              </w:rPr>
            </w:pPr>
            <w:r>
              <w:rPr>
                <w:rFonts w:ascii="Arial" w:cs="Arial" w:eastAsia="Arial" w:hAnsi="Arial"/>
                <w:sz w:val="18"/>
                <w:szCs w:val="18"/>
                <w:color w:val="auto"/>
              </w:rPr>
              <w:t>3x</w:t>
            </w:r>
          </w:p>
        </w:tc>
        <w:tc>
          <w:tcPr>
            <w:tcW w:w="2560" w:type="dxa"/>
            <w:vAlign w:val="bottom"/>
          </w:tcPr>
          <w:p>
            <w:pPr>
              <w:ind w:left="1540"/>
              <w:spacing w:after="0"/>
              <w:rPr>
                <w:sz w:val="20"/>
                <w:szCs w:val="20"/>
                <w:color w:val="auto"/>
              </w:rPr>
            </w:pPr>
            <w:r>
              <w:rPr>
                <w:rFonts w:ascii="Arial" w:cs="Arial" w:eastAsia="Arial" w:hAnsi="Arial"/>
                <w:sz w:val="18"/>
                <w:szCs w:val="18"/>
                <w:color w:val="auto"/>
              </w:rPr>
              <w:t>4.8x</w:t>
            </w:r>
          </w:p>
        </w:tc>
        <w:tc>
          <w:tcPr>
            <w:tcW w:w="1700" w:type="dxa"/>
            <w:vAlign w:val="bottom"/>
          </w:tcPr>
          <w:p>
            <w:pPr>
              <w:ind w:left="1000"/>
              <w:spacing w:after="0"/>
              <w:rPr>
                <w:sz w:val="20"/>
                <w:szCs w:val="20"/>
                <w:color w:val="auto"/>
              </w:rPr>
            </w:pPr>
            <w:r>
              <w:rPr>
                <w:rFonts w:ascii="Arial" w:cs="Arial" w:eastAsia="Arial" w:hAnsi="Arial"/>
                <w:sz w:val="18"/>
                <w:szCs w:val="18"/>
                <w:color w:val="auto"/>
              </w:rPr>
              <w:t>3.8x</w:t>
            </w: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4 Tablet Group</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4x</w:t>
            </w:r>
          </w:p>
        </w:tc>
        <w:tc>
          <w:tcPr>
            <w:tcW w:w="25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6.4x</w:t>
            </w:r>
          </w:p>
        </w:tc>
        <w:tc>
          <w:tcPr>
            <w:tcW w:w="1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4.8x</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6 Tablet Group</w:t>
            </w:r>
          </w:p>
        </w:tc>
        <w:tc>
          <w:tcPr>
            <w:tcW w:w="540" w:type="dxa"/>
            <w:vAlign w:val="bottom"/>
          </w:tcPr>
          <w:p>
            <w:pPr>
              <w:ind w:left="180"/>
              <w:spacing w:after="0"/>
              <w:rPr>
                <w:sz w:val="20"/>
                <w:szCs w:val="20"/>
                <w:color w:val="auto"/>
              </w:rPr>
            </w:pPr>
            <w:r>
              <w:rPr>
                <w:rFonts w:ascii="Arial" w:cs="Arial" w:eastAsia="Arial" w:hAnsi="Arial"/>
                <w:sz w:val="18"/>
                <w:szCs w:val="18"/>
                <w:color w:val="auto"/>
              </w:rPr>
              <w:t>6x</w:t>
            </w:r>
          </w:p>
        </w:tc>
        <w:tc>
          <w:tcPr>
            <w:tcW w:w="2560" w:type="dxa"/>
            <w:vAlign w:val="bottom"/>
          </w:tcPr>
          <w:p>
            <w:pPr>
              <w:ind w:left="1540"/>
              <w:spacing w:after="0"/>
              <w:rPr>
                <w:sz w:val="20"/>
                <w:szCs w:val="20"/>
                <w:color w:val="auto"/>
              </w:rPr>
            </w:pPr>
            <w:r>
              <w:rPr>
                <w:rFonts w:ascii="Arial" w:cs="Arial" w:eastAsia="Arial" w:hAnsi="Arial"/>
                <w:sz w:val="18"/>
                <w:szCs w:val="18"/>
                <w:color w:val="auto"/>
              </w:rPr>
              <w:t>6.2x</w:t>
            </w:r>
          </w:p>
        </w:tc>
        <w:tc>
          <w:tcPr>
            <w:tcW w:w="1700" w:type="dxa"/>
            <w:vAlign w:val="bottom"/>
          </w:tcPr>
          <w:p>
            <w:pPr>
              <w:ind w:left="1000"/>
              <w:spacing w:after="0"/>
              <w:rPr>
                <w:sz w:val="20"/>
                <w:szCs w:val="20"/>
                <w:color w:val="auto"/>
              </w:rPr>
            </w:pPr>
            <w:r>
              <w:rPr>
                <w:rFonts w:ascii="Arial" w:cs="Arial" w:eastAsia="Arial" w:hAnsi="Arial"/>
                <w:sz w:val="18"/>
                <w:szCs w:val="18"/>
                <w:color w:val="auto"/>
              </w:rPr>
              <w:t>5.2x</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8 Tablet Group</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8x</w:t>
            </w:r>
          </w:p>
        </w:tc>
        <w:tc>
          <w:tcPr>
            <w:tcW w:w="25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8.4x</w:t>
            </w:r>
          </w:p>
        </w:tc>
        <w:tc>
          <w:tcPr>
            <w:tcW w:w="1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6.8x</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Average 3-8</w:t>
            </w:r>
          </w:p>
        </w:tc>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634"/>
        </w:trPr>
        <w:tc>
          <w:tcPr>
            <w:tcW w:w="4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89"/>
              </w:rPr>
              <w:t>27</w:t>
            </w:r>
          </w:p>
        </w:tc>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8" w:name="page29"/>
    <w:bookmarkEnd w:id="28"/>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Subjects in cohort 2 had extent of drug absorption (measured by AUC) for LTX-04P comparable to Dilaudid when the same number of tablets were ingested. Likewise, the time to maximum plasma concentration, or Tmax, was comparable at all doses to Dilaudid.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Subjects taking one or two tablets of both LTX-04 test formulations had comparable extent of drug absorption (measured by AUC) as the same number of tablets of Dilaudid. However, these tablets delivered approximately 50% less peak plasma concentration (Cmax) than Dilaudid. As such, the LTX-04 test formulations were considered to not have achieved equivalent blood levels of drug and will require further development. All study drugs were generally well tolerated and no serious adverse events were observed.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analysis of the 3, 4, 6 and 8 tablet subgroups in Study 400 identified a subpopulation of patients in which LTX-04P appeared to demonstrate enhanced reduction in drug absorption as compared to Dilaudid. This subpopulation is characterized by their propensity to absorb the opioid in Dilaudid quickly, reaching maximum drug concentration in the blood in 30 minutes or less, while, on average, having maximum blood levels of drug 1.8 times that of the slower drug absorbing subjects. This subpopulation may represent a more vulnerable abuse population as speed of drug absorption and higher peak drug levels in the blood are typically associated with more drug abuse and possibly addiction.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faster absorbing subpopulation of subjects, assuming each subject should have an expected Cmax for LTX-04P consistent with the average seen in the 1 and 2 tablets subgroups of 53% of Dilaudid, the subpopulations demonstrated:</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82% of subjects had an estimated reduction in Cmax associated with Limitx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38% average estimated reduction in Cmax associated with Limitx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66% maximum reduction in estimated Cmax observed in two of 17 subjects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1.6x average increase in Tmax associated with Limitx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commenced reformulation work on the Limitx Technology micro-particles to improve the drug delivery with one and two tablets. We intend to discuss with the FDA the Study 400 results and the next clinical phase under its Fast Track development designation for LTX-04.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2015 market for immediate-release oxycodone products was 19.3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Egalet has advised that it has commenced formulation work on a new dosage strength for Oxaydo, and has set a target date for submission of this new dosage strength to the FDA in the second half of 2017. Egalet is also evaluating possible alternatives to enhance Oxaydo’s product label.</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advised that Egalet commenced promoting Oxaydo in September 2015 and has since expanded its target physician group to approximately 11,500 immediate-release opioid prescribing physicians using approximately 71 sales representatives. Commercial shipments of Oxaydo commenced in early October 2015.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 Egalet is in the early stages of promoting Oxaydo to physicians and addressing the challenges of establishing retail pharmacy stocking of a Schedule II narcotic.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9, 2015, we announced the indefinite suspension of further development of our Aversion hydrocodone/APAP product candidate. We currently have 6 additional opioids at various stages of formulation development using the Aversion Technology which are not being actively developed.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Meth Resistant</w:t>
            </w:r>
          </w:p>
        </w:tc>
        <w:tc>
          <w:tcPr>
            <w:tcW w:w="158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w w:val="93"/>
              </w:rPr>
              <w:t>Meth Recovery</w:t>
            </w:r>
            <w:r>
              <w:rPr>
                <w:rFonts w:ascii="Arial" w:cs="Arial" w:eastAsia="Arial" w:hAnsi="Arial"/>
                <w:sz w:val="30"/>
                <w:szCs w:val="30"/>
                <w:color w:val="auto"/>
                <w:w w:val="93"/>
                <w:vertAlign w:val="superscript"/>
              </w:rPr>
              <w:t>1</w:t>
            </w:r>
          </w:p>
        </w:tc>
        <w:tc>
          <w:tcPr>
            <w:tcW w:w="150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Product/Formulation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Technology</w:t>
            </w:r>
          </w:p>
        </w:tc>
        <w:tc>
          <w:tcPr>
            <w:tcW w:w="15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1.0</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Tarex®</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2.0</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760" w:hanging="104"/>
        <w:spacing w:after="0" w:line="190" w:lineRule="auto"/>
        <w:tabs>
          <w:tab w:leader="none" w:pos="7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3"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have begun a project to integrate Impede 2.0 Technology into our commercially available Nexafed 30mg tablet while moving supply to an alternate contract manufacturer.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Nexafed product line consists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approximately 56%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are marketing our Nexafed product and our Nexafed Sinus Pressure + Pain product under FDA’s regulations applicable to OTC Monograph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and Nexafed Sinus Pressure + Pain tablets are offered in 24-count blister packaged cartons.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understand that in 2014, a majority pharmacies in West Virginia voluntarily began selling on only meth-resistant products for the single-ingredient immediate-release PSE offerings. In 2015, newspapers reported about 60% of single-ingredient immediate-release PSE sales in West Virginia were for meth-resistant formulations. In March 2016, Indiana enacted legislation, subject to adoption of rule and policy making by the Indiana Board of Pharmacy, to require state pharmacists to use professional discretion when selling PSE-containing cold and allergy products, including encouraging the use of new meth-resistant formulations, in an effort to help reduce local methamphetamine production. According to media reports, Rite Aid pharmacies and many independent pharmacies in small geography in Maine have, at the request of local authorities and community leaders, removed all traditional pseudoephedrine-containing products from their shelves and stock only meth-resistant formulations such as Nexafed.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8" w:right="239" w:bottom="1440" w:gutter="0" w:footer="0" w:header="0"/>
        </w:sectPr>
      </w:pPr>
    </w:p>
    <w:p>
      <w:pPr>
        <w:spacing w:after="0" w:line="170" w:lineRule="exact"/>
        <w:rPr>
          <w:sz w:val="20"/>
          <w:szCs w:val="20"/>
          <w:color w:val="auto"/>
        </w:rPr>
      </w:pPr>
    </w:p>
    <w:p>
      <w:pPr>
        <w:ind w:right="1700" w:firstLine="1784"/>
        <w:spacing w:after="0" w:line="300" w:lineRule="auto"/>
        <w:rPr>
          <w:sz w:val="20"/>
          <w:szCs w:val="20"/>
          <w:color w:val="auto"/>
        </w:rPr>
      </w:pPr>
      <w:r>
        <w:rPr>
          <w:rFonts w:ascii="Arial" w:cs="Arial" w:eastAsia="Arial" w:hAnsi="Arial"/>
          <w:sz w:val="16"/>
          <w:szCs w:val="16"/>
          <w:color w:val="auto"/>
        </w:rPr>
        <w:t>Impede Technology Product Nexafed 30mg with Impede 2.0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559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Extended-release combination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Transferring to alternate supplier and scaling-up to commercial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Nexafed Sinus Pressure + Pain launched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formulations being considered</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Formulations being considered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development pursuant to Bayer Agreement</w:t>
      </w:r>
    </w:p>
    <w:p>
      <w:pPr>
        <w:spacing w:after="0" w:line="293" w:lineRule="exact"/>
        <w:rPr>
          <w:sz w:val="20"/>
          <w:szCs w:val="20"/>
          <w:color w:val="auto"/>
        </w:rPr>
      </w:pPr>
    </w:p>
    <w:p>
      <w:pPr>
        <w:sectPr>
          <w:pgSz w:w="11900" w:h="16838" w:orient="portrait"/>
          <w:cols w:equalWidth="0" w:num="2">
            <w:col w:w="5520" w:space="300"/>
            <w:col w:w="5600"/>
          </w:cols>
          <w:pgMar w:left="240" w:top="908" w:right="239" w:bottom="1440" w:gutter="0" w:footer="0" w:header="0"/>
          <w:type w:val="continuous"/>
        </w:sect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3" w:name="page34"/>
    <w:bookmarkEnd w:id="33"/>
    <w:p>
      <w:pPr>
        <w:jc w:val="both"/>
        <w:spacing w:after="0" w:line="273" w:lineRule="auto"/>
        <w:rPr>
          <w:sz w:val="20"/>
          <w:szCs w:val="20"/>
          <w:color w:val="auto"/>
        </w:rPr>
      </w:pPr>
      <w:r>
        <w:rPr>
          <w:rFonts w:ascii="Arial" w:cs="Arial" w:eastAsia="Arial" w:hAnsi="Arial"/>
          <w:sz w:val="17"/>
          <w:szCs w:val="17"/>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intend to submit additional “meth-resistant” testing information to the FDA for review prior to submitting an IND.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additional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2015, we and Bayer entered into a License and Development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80" w:type="dxa"/>
            <w:vAlign w:val="bottom"/>
            <w:vMerge w:val="restart"/>
          </w:tcPr>
          <w:p>
            <w:pPr>
              <w:ind w:left="64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ind w:left="1000"/>
              <w:spacing w:after="0"/>
              <w:rPr>
                <w:sz w:val="20"/>
                <w:szCs w:val="20"/>
                <w:color w:val="auto"/>
              </w:rPr>
            </w:pPr>
            <w:r>
              <w:rPr>
                <w:rFonts w:ascii="Arial" w:cs="Arial" w:eastAsia="Arial" w:hAnsi="Arial"/>
                <w:sz w:val="18"/>
                <w:szCs w:val="18"/>
                <w:color w:val="auto"/>
              </w:rPr>
              <w:t>Active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2014 Retail Sales</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Brand Company</w:t>
            </w:r>
          </w:p>
        </w:tc>
        <w:tc>
          <w:tcPr>
            <w:tcW w:w="10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Ingredient(s)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8"/>
              </w:rPr>
              <w:t>($ 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246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PSE &amp; Loraditine</w:t>
            </w:r>
            <w:r>
              <w:rPr>
                <w:rFonts w:ascii="Arial" w:cs="Arial" w:eastAsia="Arial" w:hAnsi="Arial"/>
                <w:sz w:val="30"/>
                <w:szCs w:val="30"/>
                <w:color w:val="auto"/>
                <w:vertAlign w:val="superscript"/>
              </w:rPr>
              <w:t>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Allegra-D</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Chattem</w:t>
            </w:r>
          </w:p>
        </w:tc>
        <w:tc>
          <w:tcPr>
            <w:tcW w:w="2460" w:type="dxa"/>
            <w:vAlign w:val="bottom"/>
          </w:tcPr>
          <w:p>
            <w:pPr>
              <w:spacing w:after="0" w:line="269"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30"/>
                <w:szCs w:val="30"/>
                <w:color w:val="auto"/>
                <w:vertAlign w:val="superscript"/>
              </w:rPr>
              <w:t>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4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PSE &amp; Ceterizine</w:t>
            </w:r>
            <w:r>
              <w:rPr>
                <w:rFonts w:ascii="Arial" w:cs="Arial" w:eastAsia="Arial" w:hAnsi="Arial"/>
                <w:sz w:val="30"/>
                <w:szCs w:val="30"/>
                <w:color w:val="auto"/>
                <w:vertAlign w:val="superscript"/>
              </w:rPr>
              <w:t>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Advil Sinus</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Pfizer</w:t>
            </w:r>
          </w:p>
        </w:tc>
        <w:tc>
          <w:tcPr>
            <w:tcW w:w="2460" w:type="dxa"/>
            <w:vAlign w:val="bottom"/>
          </w:tcPr>
          <w:p>
            <w:pPr>
              <w:spacing w:after="0"/>
              <w:rPr>
                <w:sz w:val="20"/>
                <w:szCs w:val="20"/>
                <w:color w:val="auto"/>
              </w:rPr>
            </w:pPr>
            <w:r>
              <w:rPr>
                <w:rFonts w:ascii="Arial" w:cs="Arial" w:eastAsia="Arial" w:hAnsi="Arial"/>
                <w:sz w:val="18"/>
                <w:szCs w:val="18"/>
                <w:color w:val="auto"/>
              </w:rPr>
              <w:t>PSE &amp; Ibuprofen</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4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PSE</w:t>
            </w:r>
            <w:r>
              <w:rPr>
                <w:rFonts w:ascii="Arial" w:cs="Arial" w:eastAsia="Arial" w:hAnsi="Arial"/>
                <w:sz w:val="30"/>
                <w:szCs w:val="30"/>
                <w:color w:val="auto"/>
                <w:vertAlign w:val="superscript"/>
              </w:rPr>
              <w:t>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Sudafed 30mg</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J&amp;J</w:t>
            </w:r>
          </w:p>
        </w:tc>
        <w:tc>
          <w:tcPr>
            <w:tcW w:w="2460" w:type="dxa"/>
            <w:vAlign w:val="bottom"/>
          </w:tcPr>
          <w:p>
            <w:pPr>
              <w:spacing w:after="0"/>
              <w:rPr>
                <w:sz w:val="20"/>
                <w:szCs w:val="20"/>
                <w:color w:val="auto"/>
              </w:rPr>
            </w:pPr>
            <w:r>
              <w:rPr>
                <w:rFonts w:ascii="Arial" w:cs="Arial" w:eastAsia="Arial" w:hAnsi="Arial"/>
                <w:sz w:val="18"/>
                <w:szCs w:val="18"/>
                <w:color w:val="auto"/>
              </w:rPr>
              <w:t>PSE</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780" w:hanging="124"/>
        <w:spacing w:after="0" w:line="184" w:lineRule="auto"/>
        <w:tabs>
          <w:tab w:leader="none" w:pos="7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Nexafed is currently priced at $4.39 for a box of 24 tablets and Nexafed Sinus Pressure + Pain is currently priced at $7.50 for a box of 24 tablets.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233 million tablet and capsule prescriptions dispensed in 2015 of which approximately 219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2015, sales in the IR opioid product segment were approximately $2.9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2015 is provided below:</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2015 US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Prescriptions</w:t>
            </w: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940" w:type="dxa"/>
            <w:vAlign w:val="bottom"/>
            <w:gridSpan w:val="3"/>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1600" w:type="dxa"/>
            <w:vAlign w:val="bottom"/>
            <w:gridSpan w:val="2"/>
          </w:tcPr>
          <w:p>
            <w:pPr>
              <w:jc w:val="center"/>
              <w:ind w:right="180"/>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Hydrocodone</w:t>
            </w:r>
          </w:p>
        </w:tc>
        <w:tc>
          <w:tcPr>
            <w:tcW w:w="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Oxycodone</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Tramadol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Codeine</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 Others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80" w:right="4260" w:hanging="165"/>
        <w:spacing w:after="0" w:line="221" w:lineRule="auto"/>
        <w:tabs>
          <w:tab w:leader="none" w:pos="223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220" w:hanging="105"/>
        <w:spacing w:after="0" w:line="192" w:lineRule="auto"/>
        <w:tabs>
          <w:tab w:leader="none" w:pos="222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IMS Health, 2015</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We have committed to the FDA to undertake epidemiological studies to assess the actual consequences of abuse of Oxaydo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 covering, among other things, our Limitx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Subject matter</w:t>
            </w:r>
          </w:p>
        </w:tc>
        <w:tc>
          <w:tcPr>
            <w:tcW w:w="18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700" w:type="dxa"/>
            <w:vAlign w:val="bottom"/>
          </w:tcPr>
          <w:p>
            <w:pPr>
              <w:spacing w:after="0"/>
              <w:rPr>
                <w:sz w:val="20"/>
                <w:szCs w:val="20"/>
                <w:color w:val="auto"/>
              </w:rPr>
            </w:pPr>
            <w:r>
              <w:rPr>
                <w:rFonts w:ascii="Arial" w:cs="Arial" w:eastAsia="Arial" w:hAnsi="Arial"/>
                <w:sz w:val="18"/>
                <w:szCs w:val="18"/>
                <w:color w:val="auto"/>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9,101,636</w:t>
            </w:r>
          </w:p>
        </w:tc>
        <w:tc>
          <w:tcPr>
            <w:tcW w:w="21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w:t>
            </w: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Aug. 2015</w:t>
            </w: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is retarded when 3 or more doses are consumed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9,320,796</w:t>
            </w:r>
          </w:p>
        </w:tc>
        <w:tc>
          <w:tcPr>
            <w:tcW w:w="2120" w:type="dxa"/>
            <w:vAlign w:val="bottom"/>
          </w:tcPr>
          <w:p>
            <w:pPr>
              <w:ind w:left="20"/>
              <w:spacing w:after="0"/>
              <w:rPr>
                <w:sz w:val="20"/>
                <w:szCs w:val="20"/>
                <w:color w:val="auto"/>
              </w:rPr>
            </w:pPr>
            <w:r>
              <w:rPr>
                <w:rFonts w:ascii="Arial" w:cs="Arial" w:eastAsia="Arial" w:hAnsi="Arial"/>
                <w:sz w:val="18"/>
                <w:szCs w:val="18"/>
                <w:color w:val="auto"/>
              </w:rPr>
              <w:t>(US)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3"/>
              </w:rPr>
              <w:t>Abuse deterrent products wherein the release of active ingredient</w:t>
            </w:r>
          </w:p>
        </w:tc>
        <w:tc>
          <w:tcPr>
            <w:tcW w:w="1820" w:type="dxa"/>
            <w:vAlign w:val="bottom"/>
            <w:gridSpan w:val="2"/>
          </w:tcPr>
          <w:p>
            <w:pPr>
              <w:spacing w:after="0"/>
              <w:rPr>
                <w:sz w:val="20"/>
                <w:szCs w:val="20"/>
                <w:color w:val="auto"/>
              </w:rPr>
            </w:pPr>
            <w:r>
              <w:rPr>
                <w:rFonts w:ascii="Arial" w:cs="Arial" w:eastAsia="Arial" w:hAnsi="Arial"/>
                <w:sz w:val="18"/>
                <w:szCs w:val="18"/>
                <w:color w:val="auto"/>
              </w:rPr>
              <w:t>Apr. 2016</w:t>
            </w:r>
          </w:p>
        </w:tc>
        <w:tc>
          <w:tcPr>
            <w:tcW w:w="1700" w:type="dxa"/>
            <w:vAlign w:val="bottom"/>
          </w:tcPr>
          <w:p>
            <w:pPr>
              <w:spacing w:after="0"/>
              <w:rPr>
                <w:sz w:val="20"/>
                <w:szCs w:val="20"/>
                <w:color w:val="auto"/>
              </w:rPr>
            </w:pPr>
            <w:r>
              <w:rPr>
                <w:rFonts w:ascii="Arial" w:cs="Arial" w:eastAsia="Arial" w:hAnsi="Arial"/>
                <w:sz w:val="18"/>
                <w:szCs w:val="18"/>
                <w:color w:val="auto"/>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is retarded when 3 or more doses are consumed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2,892,908</w:t>
            </w:r>
          </w:p>
        </w:tc>
        <w:tc>
          <w:tcPr>
            <w:tcW w:w="2120" w:type="dxa"/>
            <w:vAlign w:val="bottom"/>
          </w:tcPr>
          <w:p>
            <w:pPr>
              <w:ind w:left="20"/>
              <w:spacing w:after="0"/>
              <w:rPr>
                <w:sz w:val="20"/>
                <w:szCs w:val="20"/>
                <w:color w:val="auto"/>
              </w:rPr>
            </w:pPr>
            <w:r>
              <w:rPr>
                <w:rFonts w:ascii="Arial" w:cs="Arial" w:eastAsia="Arial" w:hAnsi="Arial"/>
                <w:sz w:val="18"/>
                <w:szCs w:val="18"/>
                <w:color w:val="auto"/>
              </w:rPr>
              <w:t>(CAN)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3"/>
              </w:rPr>
              <w:t>Abuse deterrent products wherein the release of active ingredient</w:t>
            </w:r>
          </w:p>
        </w:tc>
        <w:tc>
          <w:tcPr>
            <w:tcW w:w="1820" w:type="dxa"/>
            <w:vAlign w:val="bottom"/>
            <w:gridSpan w:val="2"/>
          </w:tcPr>
          <w:p>
            <w:pPr>
              <w:spacing w:after="0"/>
              <w:rPr>
                <w:sz w:val="20"/>
                <w:szCs w:val="20"/>
                <w:color w:val="auto"/>
              </w:rPr>
            </w:pPr>
            <w:r>
              <w:rPr>
                <w:rFonts w:ascii="Arial" w:cs="Arial" w:eastAsia="Arial" w:hAnsi="Arial"/>
                <w:sz w:val="18"/>
                <w:szCs w:val="18"/>
                <w:color w:val="auto"/>
              </w:rPr>
              <w:t>Apr. 2016</w:t>
            </w:r>
          </w:p>
        </w:tc>
        <w:tc>
          <w:tcPr>
            <w:tcW w:w="1700" w:type="dxa"/>
            <w:vAlign w:val="bottom"/>
          </w:tcPr>
          <w:p>
            <w:pPr>
              <w:spacing w:after="0"/>
              <w:rPr>
                <w:sz w:val="20"/>
                <w:szCs w:val="20"/>
                <w:color w:val="auto"/>
              </w:rPr>
            </w:pPr>
            <w:r>
              <w:rPr>
                <w:rFonts w:ascii="Arial" w:cs="Arial" w:eastAsia="Arial" w:hAnsi="Arial"/>
                <w:sz w:val="18"/>
                <w:szCs w:val="18"/>
                <w:color w:val="auto"/>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is retarded when excessive doses are consumed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(JAPAN)</w:t>
            </w: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3"/>
              </w:rPr>
              <w:t>Abuse deterrent products wherein the release of active ingredient</w:t>
            </w:r>
          </w:p>
        </w:tc>
        <w:tc>
          <w:tcPr>
            <w:tcW w:w="1820" w:type="dxa"/>
            <w:vAlign w:val="bottom"/>
            <w:gridSpan w:val="2"/>
          </w:tcPr>
          <w:p>
            <w:pPr>
              <w:spacing w:after="0"/>
              <w:rPr>
                <w:sz w:val="20"/>
                <w:szCs w:val="20"/>
                <w:color w:val="auto"/>
              </w:rPr>
            </w:pPr>
            <w:r>
              <w:rPr>
                <w:rFonts w:ascii="Arial" w:cs="Arial" w:eastAsia="Arial" w:hAnsi="Arial"/>
                <w:sz w:val="18"/>
                <w:szCs w:val="18"/>
                <w:color w:val="auto"/>
              </w:rPr>
              <w:t>Apr. 2016</w:t>
            </w:r>
          </w:p>
        </w:tc>
        <w:tc>
          <w:tcPr>
            <w:tcW w:w="1700" w:type="dxa"/>
            <w:vAlign w:val="bottom"/>
          </w:tcPr>
          <w:p>
            <w:pPr>
              <w:spacing w:after="0"/>
              <w:rPr>
                <w:sz w:val="20"/>
                <w:szCs w:val="20"/>
                <w:color w:val="auto"/>
              </w:rPr>
            </w:pPr>
            <w:r>
              <w:rPr>
                <w:rFonts w:ascii="Arial" w:cs="Arial" w:eastAsia="Arial" w:hAnsi="Arial"/>
                <w:sz w:val="18"/>
                <w:szCs w:val="18"/>
                <w:color w:val="auto"/>
              </w:rPr>
              <w:t>Nov. 2033</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is retarded when excessive doses are consumed</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
          </w:tcPr>
          <w:p>
            <w:pPr>
              <w:ind w:left="276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Subject Matter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7,201,920</w:t>
            </w:r>
          </w:p>
        </w:tc>
        <w:tc>
          <w:tcPr>
            <w:tcW w:w="21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Pharmaceutical compositions including a mixture of functional</w:t>
            </w:r>
          </w:p>
        </w:tc>
        <w:tc>
          <w:tcPr>
            <w:tcW w:w="12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inactive ingredients and specific opioid analgesics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7,510,726</w:t>
            </w:r>
          </w:p>
        </w:tc>
        <w:tc>
          <w:tcPr>
            <w:tcW w:w="2120" w:type="dxa"/>
            <w:vAlign w:val="bottom"/>
          </w:tcPr>
          <w:p>
            <w:pPr>
              <w:ind w:left="20"/>
              <w:spacing w:after="0"/>
              <w:rPr>
                <w:sz w:val="20"/>
                <w:szCs w:val="20"/>
                <w:color w:val="auto"/>
              </w:rPr>
            </w:pPr>
            <w:r>
              <w:rPr>
                <w:rFonts w:ascii="Arial" w:cs="Arial" w:eastAsia="Arial" w:hAnsi="Arial"/>
                <w:sz w:val="18"/>
                <w:szCs w:val="18"/>
                <w:color w:val="auto"/>
              </w:rPr>
              <w:t>(US)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A wider range of compositions than those described in the</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7,201,920 Patent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7,981,439</w:t>
            </w:r>
          </w:p>
        </w:tc>
        <w:tc>
          <w:tcPr>
            <w:tcW w:w="2120" w:type="dxa"/>
            <w:vAlign w:val="bottom"/>
          </w:tcPr>
          <w:p>
            <w:pPr>
              <w:ind w:left="20"/>
              <w:spacing w:after="0"/>
              <w:rPr>
                <w:sz w:val="20"/>
                <w:szCs w:val="20"/>
                <w:color w:val="auto"/>
              </w:rPr>
            </w:pPr>
            <w:r>
              <w:rPr>
                <w:rFonts w:ascii="Arial" w:cs="Arial" w:eastAsia="Arial" w:hAnsi="Arial"/>
                <w:sz w:val="18"/>
                <w:szCs w:val="18"/>
                <w:color w:val="auto"/>
              </w:rPr>
              <w:t>(US)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8"/>
              </w:rPr>
              <w:t>Pharmaceutical compositions including any water soluble drug</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Jul. 2011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Aug. 2024</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susceptible to abuse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8,409,616</w:t>
            </w:r>
          </w:p>
        </w:tc>
        <w:tc>
          <w:tcPr>
            <w:tcW w:w="2120" w:type="dxa"/>
            <w:vAlign w:val="bottom"/>
          </w:tcPr>
          <w:p>
            <w:pPr>
              <w:ind w:left="20"/>
              <w:spacing w:after="0"/>
              <w:rPr>
                <w:sz w:val="20"/>
                <w:szCs w:val="20"/>
                <w:color w:val="auto"/>
              </w:rPr>
            </w:pPr>
            <w:r>
              <w:rPr>
                <w:rFonts w:ascii="Arial" w:cs="Arial" w:eastAsia="Arial" w:hAnsi="Arial"/>
                <w:sz w:val="18"/>
                <w:szCs w:val="18"/>
                <w:color w:val="auto"/>
              </w:rPr>
              <w:t>(US)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7"/>
              </w:rPr>
              <w:t>Pharmaceutical   compositions   of   immediate-release   abuse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Apr. 2013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deterrent dosage forms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8,637,540</w:t>
            </w:r>
          </w:p>
        </w:tc>
        <w:tc>
          <w:tcPr>
            <w:tcW w:w="2120" w:type="dxa"/>
            <w:vAlign w:val="bottom"/>
          </w:tcPr>
          <w:p>
            <w:pPr>
              <w:ind w:left="20"/>
              <w:spacing w:after="0"/>
              <w:rPr>
                <w:sz w:val="20"/>
                <w:szCs w:val="20"/>
                <w:color w:val="auto"/>
              </w:rPr>
            </w:pPr>
            <w:r>
              <w:rPr>
                <w:rFonts w:ascii="Arial" w:cs="Arial" w:eastAsia="Arial" w:hAnsi="Arial"/>
                <w:sz w:val="18"/>
                <w:szCs w:val="18"/>
                <w:color w:val="auto"/>
              </w:rPr>
              <w:t>(US)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7"/>
              </w:rPr>
              <w:t>Pharmaceutical   compositions   of   immediate-release   abuse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Jan.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deterrent opioid products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7900" w:type="dxa"/>
            <w:vAlign w:val="bottom"/>
            <w:gridSpan w:val="6"/>
          </w:tcPr>
          <w:p>
            <w:pPr>
              <w:spacing w:after="0"/>
              <w:rPr>
                <w:sz w:val="20"/>
                <w:szCs w:val="20"/>
                <w:color w:val="auto"/>
              </w:rPr>
            </w:pPr>
            <w:r>
              <w:rPr>
                <w:rFonts w:ascii="Arial" w:cs="Arial" w:eastAsia="Arial" w:hAnsi="Arial"/>
                <w:sz w:val="18"/>
                <w:szCs w:val="18"/>
                <w:color w:val="auto"/>
              </w:rPr>
              <w:t>We have the following additional issued patents related to our Aversion Technology:</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288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Subject Matter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7,476,402</w:t>
            </w:r>
          </w:p>
        </w:tc>
        <w:tc>
          <w:tcPr>
            <w:tcW w:w="21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Pharmaceutical compositions of certain combinations of kappa</w:t>
            </w:r>
          </w:p>
        </w:tc>
        <w:tc>
          <w:tcPr>
            <w:tcW w:w="12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Jan. 2009</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3"/>
              </w:rPr>
              <w:t>and mu opioid receptor agonists and other ingredients intended to</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deter opioid analgesic product misuse and abuse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8,822,489</w:t>
            </w:r>
          </w:p>
        </w:tc>
        <w:tc>
          <w:tcPr>
            <w:tcW w:w="2120" w:type="dxa"/>
            <w:vAlign w:val="bottom"/>
          </w:tcPr>
          <w:p>
            <w:pPr>
              <w:ind w:left="20"/>
              <w:spacing w:after="0"/>
              <w:rPr>
                <w:sz w:val="20"/>
                <w:szCs w:val="20"/>
                <w:color w:val="auto"/>
              </w:rPr>
            </w:pPr>
            <w:r>
              <w:rPr>
                <w:rFonts w:ascii="Arial" w:cs="Arial" w:eastAsia="Arial" w:hAnsi="Arial"/>
                <w:sz w:val="18"/>
                <w:szCs w:val="18"/>
                <w:color w:val="auto"/>
              </w:rPr>
              <w:t>(US)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4"/>
              </w:rPr>
              <w:t>Pharmaceutical compositions of certain abuse deterrent products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that contain polymers, surfactant and polysorb 80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2,004,294,953 (AUS)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Apr.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2,547,334</w:t>
            </w:r>
          </w:p>
        </w:tc>
        <w:tc>
          <w:tcPr>
            <w:tcW w:w="2120" w:type="dxa"/>
            <w:vAlign w:val="bottom"/>
          </w:tcPr>
          <w:p>
            <w:pPr>
              <w:ind w:left="20"/>
              <w:spacing w:after="0"/>
              <w:rPr>
                <w:sz w:val="20"/>
                <w:szCs w:val="20"/>
                <w:color w:val="auto"/>
              </w:rPr>
            </w:pPr>
            <w:r>
              <w:rPr>
                <w:rFonts w:ascii="Arial" w:cs="Arial" w:eastAsia="Arial" w:hAnsi="Arial"/>
                <w:sz w:val="18"/>
                <w:szCs w:val="18"/>
                <w:color w:val="auto"/>
              </w:rPr>
              <w:t>(CAN)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2,647,360</w:t>
            </w:r>
          </w:p>
        </w:tc>
        <w:tc>
          <w:tcPr>
            <w:tcW w:w="2120" w:type="dxa"/>
            <w:vAlign w:val="bottom"/>
          </w:tcPr>
          <w:p>
            <w:pPr>
              <w:ind w:left="20"/>
              <w:spacing w:after="0"/>
              <w:rPr>
                <w:sz w:val="20"/>
                <w:szCs w:val="20"/>
                <w:color w:val="auto"/>
              </w:rPr>
            </w:pPr>
            <w:r>
              <w:rPr>
                <w:rFonts w:ascii="Arial" w:cs="Arial" w:eastAsia="Arial" w:hAnsi="Arial"/>
                <w:sz w:val="18"/>
                <w:szCs w:val="18"/>
                <w:color w:val="auto"/>
              </w:rPr>
              <w:t>(CAN)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2012</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175,863 (ISR)</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Nov. 2004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Abuse deterrent pharmaceuticals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Nov. 2004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 covering, among other things, our Nexafed product line and Impede 1.0 and 2.0 technologies: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Patent No. (Jurisdiction)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Subject Matter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5"/>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8,901,113 (US)</w:t>
            </w:r>
          </w:p>
        </w:tc>
        <w:tc>
          <w:tcPr>
            <w:tcW w:w="1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w:t>
            </w:r>
          </w:p>
        </w:tc>
        <w:tc>
          <w:tcPr>
            <w:tcW w:w="12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2010300641 (AUS)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6"/>
              </w:rPr>
              <w:t>Pharmaceutical compositions suitable for reducing the chemical</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Allowed, not yet issued</w:t>
            </w: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2,775,890 (CAN)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6"/>
              </w:rPr>
              <w:t>Pharmaceutical compositions suitable for reducing the chemical</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2,488,029 (EUR)</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6"/>
              </w:rPr>
              <w:t>Pharmaceutical compositions suitable for reducing the chemical</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218533 (ISR)</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w w:val="96"/>
              </w:rPr>
              <w:t>Pharmaceutical compositions suitable for reducing the chemical</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Allowed, not yet issued</w:t>
            </w:r>
          </w:p>
        </w:tc>
        <w:tc>
          <w:tcPr>
            <w:tcW w:w="1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
          </w:tcPr>
          <w:p>
            <w:pPr>
              <w:ind w:left="276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7" w:name="page38"/>
    <w:bookmarkEnd w:id="37"/>
    <w:p>
      <w:pPr>
        <w:jc w:val="both"/>
        <w:ind w:right="20"/>
        <w:spacing w:after="0" w:line="264"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October 2014, we ceded priority of the 630 patent to a patent application filed by Purdue Pharma and expect this patent to be rescinded</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and the Bayer Agreement, we have retained all intellectual property rights to our Aversion Technology, Impede Technology, Limitx Technology and related product candidates.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our Annual Report on Form 10-K under the caption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“007 Patent”). In April 2016, Purdue commenced a second patent infringement lawsuit against us and Egalet in the United States District Court for the District of Delaware alleging our Oxaydo product infringes Purdue’s newly issued U.S. Patent No. 9,308,171 (the “ 171 Patent”). The actions regarding the 007 Patent and the 171 Patent are collectively referred to as the “Actions”. On April 6, 2016, we filed a petition for Inter Parties Review (the “IPR Review”) with the USPTO seeking to invalidate Purdue’s 007 Patent.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 See Note 17 – Commitments and Contingencies, for a summary discussion of the Settlement Agreement. The Settlement Agreement specifically excludes our patents related to our Impede and Limitx technologies from the scope of our patents subject to the Settlement Agreement.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2015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June 30, 2016, we had cash, cash equivalents and marketable securities of $6.8 million compared to $13.3 million of cash, cash equivalents and marketable securities at December 31, 2015. Under our term loan with Oxford Finance LLC, we are required to maintain a $2.5 million compensating balance until the principal balance of the loan is reduced below $5.0 million, which is projected to occur in April 2017. Giving effect to our term loan compensating balance requirement, the Company had unrestricted working capital of $1.2 million at June 30, 2016 compared to unrestricted working capital of $8.4 million at December 31, 2015. We had an accumulated deficit of approximately $374.0 million and $367.3 million at June 30, 2016 and December 31, 2015, respectively. We had a loss from operations of $6.2 million and a net loss of $6.7 million for the six months ended June 30, 2016, compared to a net loss from operations of $0.9 million and net loss of $1.4 million for the six months ended June 30, 2015. As of August 5, 2016, our unrestricted cash, cash equivalents and marketable securities was $3.4 million (after deduction of the $2.5 million compensating balance requirement under our term loan with Oxford).</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estimate that our unrestricted cash, cash equivalents and marketable securities, milestone and royalty payments, if any, that may be made under the Egalet Agreement and the Bayer Agreement, and revenues from our commercialization of our Nexafed products will be sufficient to fund our continuing operations through November 2016 while maintaining compliance with the $2.5 million compensating balance requirement under our term loan with Oxford Finance LLC. Moreover,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products, or invest in other areas, thereby accelerating the date at which we may exhaust our funding resources. To fund further operations and product development activities beyond November 2016,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under the Egalet Agreement. Sales and marketing expenses include costs associated with the Nexafed product line advertising expenses as well as cost sharing expense of post-marketing studies under the Egalet Agreement. Salaries and other personnel-related costs include the stock-based compensation associated with stock options and restricted stock units granted to employees and non-employee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June 30, 2016 Compared to Three months Ended June 30,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Increase (decrease)</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58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$000’s</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w w:val="86"/>
              </w:rPr>
              <w:t>Percent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License fee revenue</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1,403</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3,336</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(3,079)</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(2,398)</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(3,288)</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(2,663)</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(3,288)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38</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 Egalet paid us an upfront payment of $5.0 million upon signing the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such as the collaboration agreement with Bayer, and are recognized when costs are incurred pursuant to the collaboration agreement. We recognized $133 thousand of collaboration revenue during the three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and we have recorded royalties of $30 thousand on net sales for the three month period ended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currently have a shelf life of twenty-four months from the date of manufacture. Revenue is being recognized at the time the product is sold to a customer. Our net product sales for the three months ended June 30, 2016 and 2015 were $94 thousand and $91 thousand,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sales includes third-party acquisition costs, third-party warehousing and product distribution charges and inventory reserve expense for the Nexafed product line. For the three months ended June 30, 2016 and 2015, cost of sales was $99 thousand and $98 thousand, respectively.</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cost and expenses for the three months ended June 30, 2016 and 2015, is $26 thousand and $47 thousand of inventory reserve expense on finished goods,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expense (R&amp;D) for the three months ended June 30, 2016 was primarily for our Limitx and our Impede Technologies development including costs of preclinical and non-clinical, clinical trials, clinical supplies and related formulation and design costs, salaries and other personnel related expenses, and facility costs as well as approximately $100 thousand of cost sharing expenses of clinical studies for product line extensions (additional strengths) of Oxaydo for the United States under the Egalet Agreement and approximately $200 thousand of cost sharing expenses of the FDA required post-marketing study for Oxaydo under the Egalet Agreement. The initial LTX-04 clinical study, Study AP-LTX-400, or Study 400, was ongoing during the second quarter 2016 for expenses of approximately $400 thousand. R&amp;D expense for the three months ended June 30, 2015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2016 and 2015 second quarter results are non-cash share-based compensation expenses of approximately $43 thousand and $39 thousand, respectively. Excluding the share-based compensation expense, our R&amp;D expenses increased $889 thousand between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and marketing expenses for the three months ended 2016 was primarily of advertising and marketing activities on the Nexafed product. Our general and administrative expenses primarily consisted of legal, audit and other professional services, corporate insurance, and payroll. Included in each of the 2016 and 2015 second quarter results are non-cash share-based compensation expenses of approximately $107 thousand and $112 thousand, respectively. Excluding the share-based compensation expense our selling, marketing, general and administrative expenses decreased by $271 thousand between reporting periods, resulting primarily from decreases in advertising and marketing activities and offset by increases in our patent legal and litigation expenses with Purdue Pharma and the cost sharing expenses under the Egalet Agreement. On May 20, 2016, a settlement agreement was entered into between Purdue Pharma on behalf of themselves and certain affiliates, Egalet Corporation, on behalf of itself and its affiliates and we, on behalf of ourselves and our affiliates.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2016 and 2015, non-operating expense consisted principally of interest expense on our term loan from Oxford, which originated in December 2013, less investment income derived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2016 and 2015 include no federal or state income tax benefit provisions due to uncertainty of their future utilization.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28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2"/>
              </w:rPr>
              <w:t>Six months Ended June 30, 2016 Compared to Six months Ended June 30, 2015</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84"/>
              </w:rPr>
              <w:t>June 30</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Increase (decrease)</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$000’s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3"/>
              </w:rPr>
              <w:t>Percent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License fee revenue</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5,250</w:t>
            </w:r>
          </w:p>
        </w:tc>
        <w:tc>
          <w:tcPr>
            <w:tcW w:w="58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Collaboration revenue</w:t>
            </w:r>
          </w:p>
        </w:tc>
        <w:tc>
          <w:tcPr>
            <w:tcW w:w="3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Product sales, net</w:t>
            </w:r>
          </w:p>
        </w:tc>
        <w:tc>
          <w:tcPr>
            <w:tcW w:w="3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5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106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481</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5,698</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(5,217)</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3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5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06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Inventory write-downs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2,417</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1,475</w:t>
            </w:r>
          </w:p>
        </w:tc>
        <w:tc>
          <w:tcPr>
            <w:tcW w:w="5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marketing, general and administrative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4,054</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4,380</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6,698</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6,584</w:t>
            </w:r>
          </w:p>
        </w:tc>
        <w:tc>
          <w:tcPr>
            <w:tcW w:w="5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60" w:type="dxa"/>
            <w:vAlign w:val="bottom"/>
          </w:tcPr>
          <w:p>
            <w:pPr>
              <w:spacing w:after="0"/>
              <w:rPr>
                <w:sz w:val="18"/>
                <w:szCs w:val="18"/>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5,331</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 Egalet paid us an upfront payment of $5.0 million upon signing the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such as the collaboration agreement with Bayer, and are recognized when costs are incurred pursuant to the collaboration agreement. We recognized $233 thousand of collaboration revenue during the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and we have recorded royalties of $47 thousand on net sales for the six month period ended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currently have a shelf life of twenty-four months from the date of manufacture.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6"/>
          <w:szCs w:val="16"/>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 Our net product sales for the six months ended June 30, 2016 and 2015 were $201 thousand and $448 thousand,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expense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six months ended June 30, 2016 and 2015, cost of sales was $201 thousand and $422 thousand,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cost and expenses for the six months ended June 30, 2016 and 2015, is $26 thousand and $47 thousand of inventory reserve expense on finished goods, respectively. Included in cost and expenses for the six months ended June 30, 2015 is $260 thousand of inventory reserve expense on raw and package materials purchased from Pfizer at the time we reacquired Oxaydo from Pfizer.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expense (R&amp;D) for the six months ended 2016 was primarily for our Limitx and our Impede Technologies development including costs of preclinical and non-clinical, clinical trials, clinical supplies and related formulation and design costs, salaries and other personnel related expenses, and facility costs as well as approximately $100 thousand of cost sharing expenses of clinical studies for product line extensions (additional strengths) of Oxaydo for the United States under the Egalet Agreement and approximately $200 thousand of cost sharing expenses of the FDA required post-marketing study for Oxaydo under the Egalet Agreement. The initial LTX-04 clinical study, Study AP-LTX-400, or Study 400, was ongoing during the first six months of 2016 for expenses of approximately $743 thousand. R&amp;D expense for the six months ended 2015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2016 and 2015 six month results are non-cash share-based compensation expenses of approximately $85 thousand and $78 thousand, respectively. Excluding the share-based compensation expense, our R&amp;D expenses increased $935 thousand between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and marketing expenses for the six months ended 2016 was primarily of advertising and marketing activities on the Nexafed product. Our general and administrative expenses primarily consisted of legal, audit and other professional services, corporate insurance, and payroll. Included in each of the 2016 and 2015 six month results are non-cash share-based compensation expenses of approximately $215 thousand and $233 thousand, respectively. Excluding the share-based compensation expense our selling, marketing, general and administrative expenses decreased by $344 thousand between reporting periods, resulting primarily from decreases in advertising and marketing activities and offset by increases in our patent legal and litigation expenses with Purdue Pharma and the cost sharing expenses under the Egalet Agreement. On May 20, 2016, a settlement agreement was entered into between Purdue Pharma on behalf of themselves and certain affiliates, Egalet Corporation, on behalf of itself and its affiliates and we, on behalf of ourselves and our affiliates.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2016 and 2015, non-operating expense consisted principally of interest expense on our term loan from Oxford, which originated in December 2013, less investment income derived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2016 and 2015 include no federal or state income tax benefit provisions due to uncertainty of their future utilization.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June 30, 2016, we had cash, cash equivalents and marketable securities $6.8 million compared to $13.3 million at December 31, 2015. Under our term loan with Oxford Finance LLC, we are required to maintain a $2.5 million compensating balance until the principal balance of the loan is reduced below $5.0 million, which is projected to occur in April 2017. Giving effect to our term loan compensating balance requirement under our Oxford term loan, we had unrestricted working capital of $1.2 million at June 30, 2016 compared to $8.4 million at December 31, 2015. We estimate that our unrestricted working capital together with milestone and royalty payments, if any, that may be made under the Egalet Agreement and the Bayer Agreement, and revenues from our commercialization of our Nexafed Products will be sufficient to fund our continuing operations through November 2016 while maintaining compliance with the $2.5 million compensating balance requirement under our term with Oxford Finance LLC.</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fund further operations and product development activities beyond November 2016,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Bayer Agreement and similar agreements for our Limitx products in development with other pharmaceutical company partners, for which there can be no assurance, and from the commercialization of our Nexafed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2015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2015 Annual Report are also applicable to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245"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right="20" w:firstLine="8"/>
        <w:spacing w:after="0" w:line="308"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second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14,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 in addition to those risk factors set forth in our 2015 Annual Report on Form 10-K:</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require additional funding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anticipate that we will require additional financing or entry into license or collaborative agreements with third parties providing for net proceeds to us in order to continue to fund operations. No assurance can be given that we will be successful in obtaining any such financing or in securing license or collaborative agreements with third parties on acceptable terms, if at all, or if secured, that such financing or license or collaborative agreements will provide for funding or payments to us sufficient to continue to fund operations. Under our term loan with Oxford Finance LLC, we are required to maintain a $2.5 million compensating balance until the principal balance of the loan is reduced below $5.0 million, which is projected to occur in April 2017. Giving effect to our term loan compensating balance requirement, we believe we have unrestricted cash and marketable securities sufficient to fund operations through November 2016. In the absence of the receipt of additional financing or payments under third-party license or collaborative agreements prior to such time, we may be required to scale back or terminate operations and/or seek protection under applicable bankruptcy laws.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30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 1934.</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00"/>
              <w:spacing w:after="0"/>
              <w:rPr>
                <w:sz w:val="20"/>
                <w:szCs w:val="20"/>
                <w:color w:val="auto"/>
              </w:rPr>
            </w:pPr>
            <w:r>
              <w:rPr>
                <w:rFonts w:ascii="Arial" w:cs="Arial" w:eastAsia="Arial" w:hAnsi="Arial"/>
                <w:sz w:val="18"/>
                <w:szCs w:val="18"/>
                <w:color w:val="auto"/>
                <w:w w:val="94"/>
              </w:rPr>
              <w:t>Certification of Periodic Report by Chief Financial Officer pursuant to Rule 13a-14 and 15d-14 of the Securities Exchange Act of 1934.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300"/>
              <w:spacing w:after="0"/>
              <w:rPr>
                <w:sz w:val="20"/>
                <w:szCs w:val="20"/>
                <w:color w:val="auto"/>
              </w:rPr>
            </w:pPr>
            <w:r>
              <w:rPr>
                <w:rFonts w:ascii="Arial" w:cs="Arial" w:eastAsia="Arial" w:hAnsi="Arial"/>
                <w:sz w:val="18"/>
                <w:szCs w:val="18"/>
                <w:color w:val="auto"/>
                <w:w w:val="92"/>
              </w:rPr>
              <w:t>Certification of Periodic Report by the Chief Executive Officer and Chief Financial Officer pursuant to 18 U.S.C. Section 1350, as adopted</w:t>
            </w:r>
          </w:p>
        </w:tc>
      </w:tr>
      <w:tr>
        <w:trPr>
          <w:trHeight w:val="230"/>
        </w:trPr>
        <w:tc>
          <w:tcPr>
            <w:tcW w:w="100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72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7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7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7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7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7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20"/>
        <w:spacing w:after="0"/>
        <w:tabs>
          <w:tab w:leader="none" w:pos="5700" w:val="left"/>
        </w:tabs>
        <w:rPr>
          <w:sz w:val="20"/>
          <w:szCs w:val="20"/>
          <w:color w:val="auto"/>
        </w:rPr>
      </w:pPr>
      <w:r>
        <w:rPr>
          <w:rFonts w:ascii="Arial" w:cs="Arial" w:eastAsia="Arial" w:hAnsi="Arial"/>
          <w:sz w:val="18"/>
          <w:szCs w:val="18"/>
          <w:color w:val="auto"/>
        </w:rPr>
        <w:t>August 8, 2016</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2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3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80" w:hanging="24"/>
        <w:spacing w:after="0" w:line="308" w:lineRule="auto"/>
        <w:tabs>
          <w:tab w:leader="none" w:pos="14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24"/>
        <w:spacing w:after="0" w:line="342" w:lineRule="auto"/>
        <w:tabs>
          <w:tab w:leader="none" w:pos="127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right="20" w:hanging="4"/>
        <w:spacing w:after="0" w:line="308" w:lineRule="auto"/>
        <w:tabs>
          <w:tab w:leader="none" w:pos="1432"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1400" w:hanging="744"/>
        <w:spacing w:after="0"/>
        <w:tabs>
          <w:tab w:leader="none" w:pos="14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controls.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August 8, 2016</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744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75"/>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3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433"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2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right="20" w:hanging="4"/>
        <w:spacing w:after="0" w:line="308" w:lineRule="auto"/>
        <w:tabs>
          <w:tab w:leader="none" w:pos="142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1380" w:hanging="724"/>
        <w:spacing w:after="0"/>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controls.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August 8, 2016</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744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2016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540" w:hanging="275"/>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August 8, 2016</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744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744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744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þ"/>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2019-12-29T10:22:12Z</dcterms:created>
  <dcterms:modified xsi:type="dcterms:W3CDTF">2019-12-29T10:22:12Z</dcterms:modified>
</cp:coreProperties>
</file>