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3300095</wp:posOffset>
            </wp:positionH>
            <wp:positionV relativeFrom="paragraph">
              <wp:posOffset>117475</wp:posOffset>
            </wp:positionV>
            <wp:extent cx="657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0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2013</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right="1320" w:hanging="652"/>
        <w:spacing w:after="0" w:line="501"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tbl>
      <w:tblPr>
        <w:tblLayout w:type="fixed"/>
        <w:tblInd w:w="8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6640" w:type="dxa"/>
            <w:vAlign w:val="bottom"/>
            <w:gridSpan w:val="3"/>
          </w:tcPr>
          <w:p>
            <w:pPr>
              <w:jc w:val="center"/>
              <w:ind w:right="2670"/>
              <w:spacing w:after="0"/>
              <w:rPr>
                <w:sz w:val="20"/>
                <w:szCs w:val="20"/>
                <w:color w:val="auto"/>
              </w:rPr>
            </w:pPr>
            <w:r>
              <w:rPr>
                <w:rFonts w:ascii="Arial" w:cs="Arial" w:eastAsia="Arial" w:hAnsi="Arial"/>
                <w:sz w:val="18"/>
                <w:szCs w:val="18"/>
                <w:b w:val="1"/>
                <w:bCs w:val="1"/>
                <w:color w:val="auto"/>
                <w:w w:val="90"/>
              </w:rPr>
              <w:t>Commission File Number 1-10113</w:t>
            </w:r>
          </w:p>
        </w:tc>
      </w:tr>
      <w:tr>
        <w:trPr>
          <w:trHeight w:val="176"/>
        </w:trPr>
        <w:tc>
          <w:tcPr>
            <w:tcW w:w="29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180" w:type="dxa"/>
            <w:vAlign w:val="bottom"/>
          </w:tcPr>
          <w:p>
            <w:pPr>
              <w:spacing w:after="0"/>
              <w:rPr>
                <w:sz w:val="15"/>
                <w:szCs w:val="15"/>
                <w:color w:val="auto"/>
              </w:rPr>
            </w:pPr>
          </w:p>
        </w:tc>
      </w:tr>
      <w:tr>
        <w:trPr>
          <w:trHeight w:val="438"/>
        </w:trPr>
        <w:tc>
          <w:tcPr>
            <w:tcW w:w="2940" w:type="dxa"/>
            <w:vAlign w:val="bottom"/>
          </w:tcPr>
          <w:p>
            <w:pPr>
              <w:spacing w:after="0"/>
              <w:rPr>
                <w:sz w:val="24"/>
                <w:szCs w:val="24"/>
                <w:color w:val="auto"/>
              </w:rPr>
            </w:pPr>
          </w:p>
        </w:tc>
        <w:tc>
          <w:tcPr>
            <w:tcW w:w="6640" w:type="dxa"/>
            <w:vAlign w:val="bottom"/>
            <w:gridSpan w:val="3"/>
          </w:tcPr>
          <w:p>
            <w:pPr>
              <w:jc w:val="center"/>
              <w:ind w:right="2690"/>
              <w:spacing w:after="0"/>
              <w:rPr>
                <w:sz w:val="20"/>
                <w:szCs w:val="20"/>
                <w:color w:val="auto"/>
              </w:rPr>
            </w:pPr>
            <w:r>
              <w:rPr>
                <w:rFonts w:ascii="Arial" w:cs="Arial" w:eastAsia="Arial" w:hAnsi="Arial"/>
                <w:sz w:val="18"/>
                <w:szCs w:val="18"/>
                <w:b w:val="1"/>
                <w:bCs w:val="1"/>
                <w:color w:val="auto"/>
                <w:w w:val="90"/>
              </w:rPr>
              <w:t>Acura Pharmaceuticals, Inc.</w:t>
            </w:r>
          </w:p>
        </w:tc>
      </w:tr>
      <w:tr>
        <w:trPr>
          <w:trHeight w:val="230"/>
        </w:trPr>
        <w:tc>
          <w:tcPr>
            <w:tcW w:w="2940" w:type="dxa"/>
            <w:vAlign w:val="bottom"/>
          </w:tcPr>
          <w:p>
            <w:pPr>
              <w:spacing w:after="0"/>
              <w:rPr>
                <w:sz w:val="20"/>
                <w:szCs w:val="20"/>
                <w:color w:val="auto"/>
              </w:rPr>
            </w:pPr>
          </w:p>
        </w:tc>
        <w:tc>
          <w:tcPr>
            <w:tcW w:w="6640" w:type="dxa"/>
            <w:vAlign w:val="bottom"/>
            <w:gridSpan w:val="3"/>
          </w:tcPr>
          <w:p>
            <w:pPr>
              <w:jc w:val="center"/>
              <w:ind w:right="267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418"/>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66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92"/>
              </w:rPr>
              <w:t>(State or other Jurisdiction of</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80" w:type="dxa"/>
            <w:vAlign w:val="bottom"/>
          </w:tcPr>
          <w:p>
            <w:pPr>
              <w:jc w:val="center"/>
              <w:ind w:left="1530"/>
              <w:spacing w:after="0"/>
              <w:rPr>
                <w:sz w:val="20"/>
                <w:szCs w:val="20"/>
                <w:color w:val="auto"/>
              </w:rPr>
            </w:pPr>
            <w:r>
              <w:rPr>
                <w:rFonts w:ascii="Arial" w:cs="Arial" w:eastAsia="Arial" w:hAnsi="Arial"/>
                <w:sz w:val="18"/>
                <w:szCs w:val="18"/>
                <w:i w:val="1"/>
                <w:iCs w:val="1"/>
                <w:color w:val="auto"/>
                <w:w w:val="92"/>
              </w:rPr>
              <w:t>(I.R.S. Employer Identification No.)</w:t>
            </w:r>
          </w:p>
        </w:tc>
      </w:tr>
      <w:tr>
        <w:trPr>
          <w:trHeight w:val="230"/>
        </w:trPr>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94"/>
              </w:rPr>
              <w:t>incorporation or organization)</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14"/>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616 N. North Court, Suite 120</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20"/>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2"/>
              </w:rPr>
              <w:t>Palatine, Illinois</w:t>
            </w:r>
          </w:p>
        </w:tc>
        <w:tc>
          <w:tcPr>
            <w:tcW w:w="664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80" w:type="dxa"/>
            <w:vAlign w:val="bottom"/>
          </w:tcPr>
          <w:p>
            <w:pPr>
              <w:jc w:val="center"/>
              <w:ind w:left="1530"/>
              <w:spacing w:after="0"/>
              <w:rPr>
                <w:sz w:val="20"/>
                <w:szCs w:val="20"/>
                <w:color w:val="auto"/>
              </w:rPr>
            </w:pPr>
            <w:r>
              <w:rPr>
                <w:rFonts w:ascii="Arial" w:cs="Arial" w:eastAsia="Arial" w:hAnsi="Arial"/>
                <w:sz w:val="18"/>
                <w:szCs w:val="18"/>
                <w:i w:val="1"/>
                <w:iCs w:val="1"/>
                <w:color w:val="auto"/>
                <w:w w:val="94"/>
              </w:rPr>
              <w:t>(Zip Code)</w:t>
            </w:r>
          </w:p>
        </w:tc>
      </w:tr>
      <w:tr>
        <w:trPr>
          <w:trHeight w:val="418"/>
        </w:trPr>
        <w:tc>
          <w:tcPr>
            <w:tcW w:w="2940" w:type="dxa"/>
            <w:vAlign w:val="bottom"/>
          </w:tcPr>
          <w:p>
            <w:pPr>
              <w:spacing w:after="0"/>
              <w:rPr>
                <w:sz w:val="24"/>
                <w:szCs w:val="24"/>
                <w:color w:val="auto"/>
              </w:rPr>
            </w:pPr>
          </w:p>
        </w:tc>
        <w:tc>
          <w:tcPr>
            <w:tcW w:w="246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88"/>
              </w:rPr>
              <w:t>847 705 7709</w:t>
            </w:r>
          </w:p>
        </w:tc>
        <w:tc>
          <w:tcPr>
            <w:tcW w:w="418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6640" w:type="dxa"/>
            <w:vAlign w:val="bottom"/>
            <w:gridSpan w:val="3"/>
          </w:tcPr>
          <w:p>
            <w:pPr>
              <w:jc w:val="center"/>
              <w:ind w:right="2690"/>
              <w:spacing w:after="0"/>
              <w:rPr>
                <w:sz w:val="20"/>
                <w:szCs w:val="20"/>
                <w:color w:val="auto"/>
              </w:rPr>
            </w:pPr>
            <w:r>
              <w:rPr>
                <w:rFonts w:ascii="Arial" w:cs="Arial" w:eastAsia="Arial" w:hAnsi="Arial"/>
                <w:sz w:val="18"/>
                <w:szCs w:val="18"/>
                <w:i w:val="1"/>
                <w:iCs w:val="1"/>
                <w:color w:val="auto"/>
                <w:w w:val="90"/>
              </w:rPr>
              <w:t>(Registrant's telephone number, including area code)</w:t>
            </w:r>
          </w:p>
        </w:tc>
      </w:tr>
    </w:tbl>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and (2) has been subject to such filing requirements for the past 90 days. Yes þ No o</w:t>
      </w:r>
    </w:p>
    <w:p>
      <w:pPr>
        <w:spacing w:after="0" w:line="170" w:lineRule="exact"/>
        <w:rPr>
          <w:sz w:val="24"/>
          <w:szCs w:val="24"/>
          <w:color w:val="auto"/>
        </w:rPr>
      </w:pPr>
    </w:p>
    <w:p>
      <w:pPr>
        <w:jc w:val="both"/>
        <w:ind w:right="180" w:firstLine="64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660"/>
        <w:spacing w:after="0"/>
        <w:rPr>
          <w:sz w:val="20"/>
          <w:szCs w:val="20"/>
          <w:color w:val="auto"/>
        </w:rPr>
      </w:pPr>
      <w:r>
        <w:rPr>
          <w:rFonts w:ascii="Arial" w:cs="Arial" w:eastAsia="Arial" w:hAnsi="Arial"/>
          <w:sz w:val="18"/>
          <w:szCs w:val="18"/>
          <w:color w:val="auto"/>
        </w:rPr>
        <w:t>Yes þ No o</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filer, “accelerated filer” and “smaller reporting company” in Rule 12b-2 of the Exchange Act. (Check one):</w:t>
      </w:r>
    </w:p>
    <w:p>
      <w:pPr>
        <w:sectPr>
          <w:pgSz w:w="11900" w:h="16838" w:orient="portrait"/>
          <w:cols w:equalWidth="0" w:num="1">
            <w:col w:w="11360"/>
          </w:cols>
          <w:pgMar w:left="240" w:top="877" w:right="29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7"/>
          <w:szCs w:val="17"/>
          <w:color w:val="auto"/>
        </w:rPr>
        <w:t>Non-accelerated filer þ</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2">
            <w:col w:w="5580" w:space="720"/>
            <w:col w:w="5060"/>
          </w:cols>
          <w:pgMar w:left="240" w:top="877" w:right="299" w:bottom="1440" w:gutter="0" w:footer="0" w:header="0"/>
          <w:type w:val="continuous"/>
        </w:sectPr>
      </w:pPr>
    </w:p>
    <w:p>
      <w:pPr>
        <w:spacing w:after="0" w:line="2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þ</w:t>
      </w:r>
    </w:p>
    <w:p>
      <w:pPr>
        <w:spacing w:after="0" w:line="24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July 29, 2013 the registrant had 46,495,646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8620" w:type="dxa"/>
            <w:vAlign w:val="bottom"/>
          </w:tcPr>
          <w:p>
            <w:pPr>
              <w:jc w:val="center"/>
              <w:ind w:left="930"/>
              <w:spacing w:after="0"/>
              <w:rPr>
                <w:sz w:val="20"/>
                <w:szCs w:val="20"/>
                <w:color w:val="auto"/>
              </w:rPr>
            </w:pPr>
            <w:r>
              <w:rPr>
                <w:rFonts w:ascii="Arial" w:cs="Arial" w:eastAsia="Arial" w:hAnsi="Arial"/>
                <w:sz w:val="18"/>
                <w:szCs w:val="18"/>
                <w:b w:val="1"/>
                <w:bCs w:val="1"/>
                <w:color w:val="auto"/>
              </w:rPr>
              <w:t>ACURA PHARMACEUTICALS, INC. AND SUBSIDIARY</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62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TABLE OF CONTENTS</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862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FORM 10-Q FOR THE QUARTERLY PERIOD ENDED JUNE 30, 2013</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Part 1. FINANCIAL INFORMATION</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8620" w:type="dxa"/>
            <w:vAlign w:val="bottom"/>
            <w:vMerge w:val="restart"/>
          </w:tcPr>
          <w:p>
            <w:pPr>
              <w:ind w:left="120"/>
              <w:spacing w:after="0"/>
              <w:rPr>
                <w:sz w:val="20"/>
                <w:szCs w:val="20"/>
                <w:color w:val="auto"/>
              </w:rPr>
            </w:pPr>
            <w:r>
              <w:rPr>
                <w:rFonts w:ascii="Arial" w:cs="Arial" w:eastAsia="Arial" w:hAnsi="Arial"/>
                <w:sz w:val="18"/>
                <w:szCs w:val="18"/>
                <w:color w:val="auto"/>
              </w:rPr>
              <w:t>Consolidated Financial Statements (Unaudited):</w:t>
            </w: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862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Consolidated Balance Sheets as of June 30, 2013 and</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December 31, 2012</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Consolidated Statements of Operations and Comprehensive Income (Loss) for the</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Three and Six Months Ended June 30, 2013 and June 30, 2012</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Consolidated Statement of Stockholders’ Equity for the</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Six Months Ended June 30, 2013</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Consolidated Statements of Cash Flows for the</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Six Months Ended June 30, 2013 and June 30, 2012</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62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862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648"/>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62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8620" w:type="dxa"/>
            <w:vAlign w:val="bottom"/>
          </w:tcPr>
          <w:p>
            <w:pPr>
              <w:ind w:left="260"/>
              <w:spacing w:after="0"/>
              <w:rPr>
                <w:sz w:val="20"/>
                <w:szCs w:val="20"/>
                <w:color w:val="auto"/>
              </w:rPr>
            </w:pPr>
            <w:r>
              <w:rPr>
                <w:rFonts w:ascii="Arial" w:cs="Arial" w:eastAsia="Arial" w:hAnsi="Arial"/>
                <w:sz w:val="18"/>
                <w:szCs w:val="18"/>
                <w:color w:val="auto"/>
              </w:rPr>
              <w:t>Exhibits</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Signatures</w:t>
            </w:r>
          </w:p>
        </w:tc>
        <w:tc>
          <w:tcPr>
            <w:tcW w:w="8620" w:type="dxa"/>
            <w:vAlign w:val="bottom"/>
          </w:tcPr>
          <w:p>
            <w:pPr>
              <w:spacing w:after="0"/>
              <w:rPr>
                <w:sz w:val="24"/>
                <w:szCs w:val="24"/>
                <w:color w:val="auto"/>
              </w:rPr>
            </w:pPr>
          </w:p>
        </w:tc>
        <w:tc>
          <w:tcPr>
            <w:tcW w:w="1900" w:type="dxa"/>
            <w:vAlign w:val="bottom"/>
          </w:tcPr>
          <w:p>
            <w:pPr>
              <w:jc w:val="right"/>
              <w:ind w:right="4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48"/>
        </w:trPr>
        <w:tc>
          <w:tcPr>
            <w:tcW w:w="90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rPr>
              <w:t>ACURA PHARMACEUTICALS, INC. AND SUBSIDIARY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584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18,884</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19,946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investment income</w:t>
            </w: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Finished goods inventory, net</w:t>
            </w:r>
          </w:p>
        </w:tc>
        <w:tc>
          <w:tcPr>
            <w:tcW w:w="2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 refundable</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current deferred assets</w:t>
            </w:r>
          </w:p>
        </w:tc>
        <w:tc>
          <w:tcPr>
            <w:tcW w:w="22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20,491</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27,991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21,505</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29,054</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328</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FFCC"/>
          </w:tcPr>
          <w:p>
            <w:pPr>
              <w:spacing w:after="0"/>
              <w:rPr>
                <w:sz w:val="19"/>
                <w:szCs w:val="19"/>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32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6"/>
              </w:rPr>
              <w:t>Common stock: $.01 par value per share; 100,000 shares authorized, 46,496 and 45,867 shares issued and</w:t>
            </w:r>
          </w:p>
        </w:tc>
        <w:tc>
          <w:tcPr>
            <w:tcW w:w="2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outstanding at June 30, 2013 and December 31, 2012, respectively</w:t>
            </w:r>
          </w:p>
        </w:tc>
        <w:tc>
          <w:tcPr>
            <w:tcW w:w="22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362,583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362,422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(342,505)</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(335,211)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20,424</w:t>
            </w:r>
          </w:p>
        </w:tc>
        <w:tc>
          <w:tcPr>
            <w:tcW w:w="32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27,630</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21,505</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ACURA PHARMACEUTICALS, INC. AND SUBSIDIARY CONSOLIDATED STATEMENTS OF OPERATIONS AND COMPRENESIVE INCOME (LOSS) (Unaudited;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4"/>
          </w:tcPr>
          <w:p>
            <w:pPr>
              <w:jc w:val="right"/>
              <w:ind w:right="90"/>
              <w:spacing w:after="0"/>
              <w:rPr>
                <w:sz w:val="20"/>
                <w:szCs w:val="20"/>
                <w:color w:val="auto"/>
              </w:rPr>
            </w:pPr>
            <w:r>
              <w:rPr>
                <w:rFonts w:ascii="Arial" w:cs="Arial" w:eastAsia="Arial" w:hAnsi="Arial"/>
                <w:sz w:val="18"/>
                <w:szCs w:val="18"/>
                <w:color w:val="auto"/>
              </w:rPr>
              <w:t>Six Months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Ended June 30,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Ended June 30,</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Royalty revenue</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FFCC"/>
            </w:tcBorders>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2,336</w:t>
            </w:r>
          </w:p>
        </w:tc>
        <w:tc>
          <w:tcPr>
            <w:tcW w:w="1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1,270</w:t>
            </w:r>
          </w:p>
        </w:tc>
        <w:tc>
          <w:tcPr>
            <w:tcW w:w="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4,558</w:t>
            </w:r>
          </w:p>
        </w:tc>
        <w:tc>
          <w:tcPr>
            <w:tcW w:w="12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FFCC"/>
            </w:tcBorders>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(3,140)</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(7,384)</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(4,533)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income</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Gain (loss) on sales of marketable securities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FFCC"/>
            </w:tcBorders>
          </w:tcPr>
          <w:p>
            <w:pPr>
              <w:ind w:left="480"/>
              <w:spacing w:after="0"/>
              <w:rPr>
                <w:sz w:val="20"/>
                <w:szCs w:val="20"/>
                <w:color w:val="auto"/>
              </w:rPr>
            </w:pPr>
            <w:r>
              <w:rPr>
                <w:rFonts w:ascii="Arial" w:cs="Arial" w:eastAsia="Arial" w:hAnsi="Arial"/>
                <w:sz w:val="18"/>
                <w:szCs w:val="18"/>
                <w:color w:val="auto"/>
              </w:rPr>
              <w:t>Total other income</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(3,076)</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(7,294)</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(3,076</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(7,294</w:t>
            </w:r>
          </w:p>
        </w:tc>
        <w:tc>
          <w:tcPr>
            <w:tcW w:w="200" w:type="dxa"/>
            <w:vAlign w:val="bottom"/>
            <w:tcBorders>
              <w:top w:val="single" w:sz="8" w:color="CCFFCC"/>
            </w:tcBorders>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(losses) on securities</w:t>
            </w: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FFCC"/>
            </w:tcBorders>
          </w:tcPr>
          <w:p>
            <w:pPr>
              <w:ind w:left="48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FFC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(3,207</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(2,179</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(7,373</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80" w:type="dxa"/>
            <w:vAlign w:val="bottom"/>
            <w:shd w:val="clear" w:color="auto" w:fill="CCFFC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(loss) per share:</w:t>
            </w:r>
          </w:p>
        </w:tc>
        <w:tc>
          <w:tcPr>
            <w:tcW w:w="28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42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2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right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(0.07)</w:t>
            </w:r>
          </w:p>
        </w:tc>
        <w:tc>
          <w:tcPr>
            <w:tcW w:w="5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(0.16)</w:t>
            </w:r>
          </w:p>
        </w:tc>
        <w:tc>
          <w:tcPr>
            <w:tcW w:w="5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47,228</w:t>
            </w:r>
          </w:p>
        </w:tc>
        <w:tc>
          <w:tcPr>
            <w:tcW w:w="1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47,521</w:t>
            </w: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47,215</w:t>
            </w:r>
          </w:p>
        </w:tc>
        <w:tc>
          <w:tcPr>
            <w:tcW w:w="1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47,519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47,215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4"/>
                <w:szCs w:val="14"/>
                <w:color w:val="auto"/>
                <w:w w:val="95"/>
              </w:rPr>
              <w:t>Six Months Ended June 30, 2013</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19"/>
              <w:spacing w:after="0" w:line="137" w:lineRule="exact"/>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80" w:type="dxa"/>
            <w:vAlign w:val="bottom"/>
            <w:gridSpan w:val="5"/>
          </w:tcPr>
          <w:p>
            <w:pPr>
              <w:jc w:val="right"/>
              <w:ind w:right="11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19"/>
              <w:spacing w:after="0"/>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6"/>
              </w:rPr>
              <w:t>Paid-in</w:t>
            </w:r>
          </w:p>
        </w:tc>
        <w:tc>
          <w:tcPr>
            <w:tcW w:w="100" w:type="dxa"/>
            <w:vAlign w:val="bottom"/>
          </w:tcPr>
          <w:p>
            <w:pPr>
              <w:spacing w:after="0"/>
              <w:rPr>
                <w:sz w:val="12"/>
                <w:szCs w:val="12"/>
                <w:color w:val="auto"/>
              </w:rPr>
            </w:pPr>
          </w:p>
        </w:tc>
        <w:tc>
          <w:tcPr>
            <w:tcW w:w="11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w w:val="96"/>
              </w:rPr>
              <w:t>Accumulated</w:t>
            </w:r>
          </w:p>
        </w:tc>
        <w:tc>
          <w:tcPr>
            <w:tcW w:w="140" w:type="dxa"/>
            <w:vAlign w:val="bottom"/>
          </w:tcPr>
          <w:p>
            <w:pPr>
              <w:spacing w:after="0"/>
              <w:rPr>
                <w:sz w:val="12"/>
                <w:szCs w:val="12"/>
                <w:color w:val="auto"/>
              </w:rPr>
            </w:pPr>
          </w:p>
        </w:tc>
        <w:tc>
          <w:tcPr>
            <w:tcW w:w="1200" w:type="dxa"/>
            <w:vAlign w:val="bottom"/>
            <w:gridSpan w:val="3"/>
          </w:tcPr>
          <w:p>
            <w:pPr>
              <w:jc w:val="center"/>
              <w:ind w:right="139"/>
              <w:spacing w:after="0" w:line="149"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color w:val="auto"/>
              </w:rPr>
              <w:t>$ Amount</w:t>
            </w:r>
          </w:p>
        </w:tc>
        <w:tc>
          <w:tcPr>
            <w:tcW w:w="12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color w:val="auto"/>
                <w:w w:val="96"/>
              </w:rPr>
              <w:t>Capital</w:t>
            </w:r>
          </w:p>
        </w:tc>
        <w:tc>
          <w:tcPr>
            <w:tcW w:w="100" w:type="dxa"/>
            <w:vAlign w:val="bottom"/>
          </w:tcPr>
          <w:p>
            <w:pPr>
              <w:spacing w:after="0"/>
              <w:rPr>
                <w:sz w:val="14"/>
                <w:szCs w:val="14"/>
                <w:color w:val="auto"/>
              </w:rPr>
            </w:pPr>
          </w:p>
        </w:tc>
        <w:tc>
          <w:tcPr>
            <w:tcW w:w="1100" w:type="dxa"/>
            <w:vAlign w:val="bottom"/>
            <w:gridSpan w:val="2"/>
          </w:tcPr>
          <w:p>
            <w:pPr>
              <w:jc w:val="right"/>
              <w:ind w:right="439"/>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19"/>
              <w:spacing w:after="0"/>
              <w:rPr>
                <w:sz w:val="20"/>
                <w:szCs w:val="20"/>
                <w:color w:val="auto"/>
              </w:rPr>
            </w:pPr>
            <w:r>
              <w:rPr>
                <w:rFonts w:ascii="Arial" w:cs="Arial" w:eastAsia="Arial" w:hAnsi="Arial"/>
                <w:sz w:val="14"/>
                <w:szCs w:val="14"/>
                <w:color w:val="auto"/>
                <w:w w:val="92"/>
              </w:rPr>
              <w:t>Income (Loss)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4"/>
                <w:szCs w:val="14"/>
                <w:color w:val="auto"/>
              </w:rPr>
              <w:t>Balance at December 31, 2012</w:t>
            </w: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4"/>
                <w:szCs w:val="14"/>
                <w:color w:val="auto"/>
              </w:rPr>
              <w:t>45,867</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459</w:t>
            </w:r>
          </w:p>
        </w:tc>
        <w:tc>
          <w:tcPr>
            <w:tcW w:w="360" w:type="dxa"/>
            <w:vAlign w:val="bottom"/>
            <w:shd w:val="clear" w:color="auto" w:fill="CCFFCC"/>
          </w:tcPr>
          <w:p>
            <w:pPr>
              <w:spacing w:after="0"/>
              <w:rPr>
                <w:sz w:val="14"/>
                <w:szCs w:val="14"/>
                <w:color w:val="auto"/>
              </w:rPr>
            </w:pPr>
          </w:p>
        </w:tc>
        <w:tc>
          <w:tcPr>
            <w:tcW w:w="120" w:type="dxa"/>
            <w:vAlign w:val="bottom"/>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FFCC"/>
          </w:tcPr>
          <w:p>
            <w:pPr>
              <w:jc w:val="right"/>
              <w:ind w:right="340"/>
              <w:spacing w:after="0"/>
              <w:rPr>
                <w:sz w:val="20"/>
                <w:szCs w:val="20"/>
                <w:color w:val="auto"/>
              </w:rPr>
            </w:pPr>
            <w:r>
              <w:rPr>
                <w:rFonts w:ascii="Arial" w:cs="Arial" w:eastAsia="Arial" w:hAnsi="Arial"/>
                <w:sz w:val="14"/>
                <w:szCs w:val="14"/>
                <w:color w:val="auto"/>
              </w:rPr>
              <w:t>362,422</w:t>
            </w:r>
          </w:p>
        </w:tc>
        <w:tc>
          <w:tcPr>
            <w:tcW w:w="1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(335,211)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99"/>
              <w:spacing w:after="0"/>
              <w:rPr>
                <w:sz w:val="20"/>
                <w:szCs w:val="20"/>
                <w:color w:val="auto"/>
              </w:rPr>
            </w:pPr>
            <w:r>
              <w:rPr>
                <w:rFonts w:ascii="Arial" w:cs="Arial" w:eastAsia="Arial" w:hAnsi="Arial"/>
                <w:sz w:val="14"/>
                <w:szCs w:val="14"/>
                <w:color w:val="auto"/>
              </w:rPr>
              <w:t>(40)</w:t>
            </w:r>
          </w:p>
        </w:tc>
        <w:tc>
          <w:tcPr>
            <w:tcW w:w="36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27,630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line="142" w:lineRule="exact"/>
              <w:rPr>
                <w:sz w:val="20"/>
                <w:szCs w:val="20"/>
                <w:color w:val="auto"/>
              </w:rPr>
            </w:pPr>
            <w:r>
              <w:rPr>
                <w:rFonts w:ascii="Arial" w:cs="Arial" w:eastAsia="Arial" w:hAnsi="Arial"/>
                <w:sz w:val="14"/>
                <w:szCs w:val="14"/>
                <w:color w:val="auto"/>
              </w:rPr>
              <w:t>Net loss</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(7,294)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1380" w:type="dxa"/>
            <w:vAlign w:val="bottom"/>
            <w:gridSpan w:val="2"/>
            <w:shd w:val="clear" w:color="auto" w:fill="CCFFCC"/>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99"/>
              <w:spacing w:after="0" w:line="149" w:lineRule="exact"/>
              <w:rPr>
                <w:sz w:val="20"/>
                <w:szCs w:val="20"/>
                <w:color w:val="auto"/>
              </w:rPr>
            </w:pPr>
            <w:r>
              <w:rPr>
                <w:rFonts w:ascii="Arial" w:cs="Arial" w:eastAsia="Arial" w:hAnsi="Arial"/>
                <w:sz w:val="14"/>
                <w:szCs w:val="14"/>
                <w:color w:val="auto"/>
              </w:rPr>
              <w:t>(79)</w:t>
            </w:r>
          </w:p>
        </w:tc>
        <w:tc>
          <w:tcPr>
            <w:tcW w:w="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440" w:type="dxa"/>
            <w:vAlign w:val="bottom"/>
          </w:tcPr>
          <w:p>
            <w:pPr>
              <w:spacing w:after="0" w:line="130" w:lineRule="exact"/>
              <w:rPr>
                <w:sz w:val="20"/>
                <w:szCs w:val="20"/>
                <w:color w:val="auto"/>
              </w:rPr>
            </w:pPr>
            <w:r>
              <w:rPr>
                <w:rFonts w:ascii="Arial" w:cs="Arial" w:eastAsia="Arial" w:hAnsi="Arial"/>
                <w:sz w:val="14"/>
                <w:szCs w:val="14"/>
                <w:color w:val="auto"/>
              </w:rPr>
              <w:t>Net distribution of common stock pursuant to restricted</w:t>
            </w: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spacing w:after="0"/>
              <w:rPr>
                <w:sz w:val="20"/>
                <w:szCs w:val="20"/>
                <w:color w:val="auto"/>
              </w:rPr>
            </w:pPr>
            <w:r>
              <w:rPr>
                <w:rFonts w:ascii="Arial" w:cs="Arial" w:eastAsia="Arial" w:hAnsi="Arial"/>
                <w:sz w:val="14"/>
                <w:szCs w:val="14"/>
                <w:color w:val="auto"/>
              </w:rPr>
              <w:t>stock unit award plan</w:t>
            </w: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826</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Common shares withheld for withholding taxes on</w:t>
            </w:r>
          </w:p>
        </w:tc>
        <w:tc>
          <w:tcPr>
            <w:tcW w:w="10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4"/>
                <w:szCs w:val="14"/>
                <w:color w:val="auto"/>
              </w:rPr>
              <w:t>distribution of restricted stock units</w:t>
            </w:r>
          </w:p>
        </w:tc>
        <w:tc>
          <w:tcPr>
            <w:tcW w:w="1380" w:type="dxa"/>
            <w:vAlign w:val="bottom"/>
            <w:gridSpan w:val="2"/>
            <w:shd w:val="clear" w:color="auto" w:fill="CCFFCC"/>
          </w:tcPr>
          <w:p>
            <w:pPr>
              <w:jc w:val="right"/>
              <w:ind w:right="300"/>
              <w:spacing w:after="0"/>
              <w:rPr>
                <w:sz w:val="20"/>
                <w:szCs w:val="20"/>
                <w:color w:val="auto"/>
              </w:rPr>
            </w:pPr>
            <w:r>
              <w:rPr>
                <w:rFonts w:ascii="Arial" w:cs="Arial" w:eastAsia="Arial" w:hAnsi="Arial"/>
                <w:sz w:val="14"/>
                <w:szCs w:val="14"/>
                <w:color w:val="auto"/>
              </w:rPr>
              <w:t>(321)</w:t>
            </w:r>
          </w:p>
        </w:tc>
        <w:tc>
          <w:tcPr>
            <w:tcW w:w="16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30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FFCC"/>
          </w:tcPr>
          <w:p>
            <w:pPr>
              <w:spacing w:after="0"/>
              <w:rPr>
                <w:sz w:val="14"/>
                <w:szCs w:val="14"/>
                <w:color w:val="auto"/>
              </w:rPr>
            </w:pPr>
          </w:p>
        </w:tc>
        <w:tc>
          <w:tcPr>
            <w:tcW w:w="1260" w:type="dxa"/>
            <w:vAlign w:val="bottom"/>
            <w:gridSpan w:val="2"/>
            <w:shd w:val="clear" w:color="auto" w:fill="CCFFCC"/>
          </w:tcPr>
          <w:p>
            <w:pPr>
              <w:jc w:val="right"/>
              <w:ind w:right="300"/>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4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Net issuance of common stock pursuant to cashless</w:t>
            </w:r>
          </w:p>
        </w:tc>
        <w:tc>
          <w:tcPr>
            <w:tcW w:w="10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4"/>
                <w:szCs w:val="14"/>
                <w:color w:val="auto"/>
              </w:rPr>
              <w:t>exercise of stock options</w:t>
            </w: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4"/>
                <w:szCs w:val="14"/>
                <w:color w:val="auto"/>
              </w:rPr>
              <w:t>4</w:t>
            </w:r>
          </w:p>
        </w:tc>
        <w:tc>
          <w:tcPr>
            <w:tcW w:w="16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40" w:type="dxa"/>
            <w:vAlign w:val="bottom"/>
          </w:tcPr>
          <w:p>
            <w:pPr>
              <w:spacing w:after="0" w:line="130" w:lineRule="exact"/>
              <w:rPr>
                <w:sz w:val="20"/>
                <w:szCs w:val="20"/>
                <w:color w:val="auto"/>
              </w:rPr>
            </w:pPr>
            <w:r>
              <w:rPr>
                <w:rFonts w:ascii="Arial" w:cs="Arial" w:eastAsia="Arial" w:hAnsi="Arial"/>
                <w:sz w:val="14"/>
                <w:szCs w:val="14"/>
                <w:color w:val="auto"/>
              </w:rPr>
              <w:t>Common shares withheld for withholding taxes on</w:t>
            </w: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spacing w:after="0"/>
              <w:rPr>
                <w:sz w:val="20"/>
                <w:szCs w:val="20"/>
                <w:color w:val="auto"/>
              </w:rPr>
            </w:pPr>
            <w:r>
              <w:rPr>
                <w:rFonts w:ascii="Arial" w:cs="Arial" w:eastAsia="Arial" w:hAnsi="Arial"/>
                <w:sz w:val="14"/>
                <w:szCs w:val="14"/>
                <w:color w:val="auto"/>
              </w:rPr>
              <w:t>cashless exercise of stock options</w:t>
            </w:r>
          </w:p>
        </w:tc>
        <w:tc>
          <w:tcPr>
            <w:tcW w:w="1380" w:type="dxa"/>
            <w:vAlign w:val="bottom"/>
            <w:gridSpan w:val="2"/>
          </w:tcPr>
          <w:p>
            <w:pPr>
              <w:jc w:val="right"/>
              <w:ind w:right="30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440" w:type="dxa"/>
            <w:vAlign w:val="bottom"/>
          </w:tcPr>
          <w:p>
            <w:pPr>
              <w:spacing w:after="0" w:line="130" w:lineRule="exact"/>
              <w:rPr>
                <w:sz w:val="20"/>
                <w:szCs w:val="20"/>
                <w:color w:val="auto"/>
              </w:rPr>
            </w:pPr>
            <w:r>
              <w:rPr>
                <w:rFonts w:ascii="Arial" w:cs="Arial" w:eastAsia="Arial" w:hAnsi="Arial"/>
                <w:sz w:val="14"/>
                <w:szCs w:val="14"/>
                <w:color w:val="auto"/>
              </w:rPr>
              <w:t>Issuance of common stock under “at the market”</w:t>
            </w: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spacing w:after="0"/>
              <w:rPr>
                <w:sz w:val="20"/>
                <w:szCs w:val="20"/>
                <w:color w:val="auto"/>
              </w:rPr>
            </w:pPr>
            <w:r>
              <w:rPr>
                <w:rFonts w:ascii="Arial" w:cs="Arial" w:eastAsia="Arial" w:hAnsi="Arial"/>
                <w:sz w:val="14"/>
                <w:szCs w:val="14"/>
                <w:color w:val="auto"/>
              </w:rPr>
              <w:t>offerings, net of offering costs of $8</w:t>
            </w: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114</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w w:val="99"/>
              </w:rPr>
              <w:t>Issuance of common stock for exercise of stock options</w:t>
            </w:r>
          </w:p>
        </w:tc>
        <w:tc>
          <w:tcPr>
            <w:tcW w:w="1380" w:type="dxa"/>
            <w:vAlign w:val="bottom"/>
            <w:gridSpan w:val="2"/>
          </w:tcPr>
          <w:p>
            <w:pPr>
              <w:jc w:val="right"/>
              <w:ind w:right="34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Balance at June 30, 2013</w:t>
            </w:r>
          </w:p>
        </w:tc>
        <w:tc>
          <w:tcPr>
            <w:tcW w:w="10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46,496</w:t>
            </w:r>
          </w:p>
        </w:tc>
        <w:tc>
          <w:tcPr>
            <w:tcW w:w="340" w:type="dxa"/>
            <w:vAlign w:val="bottom"/>
            <w:tcBorders>
              <w:top w:val="single" w:sz="8" w:color="CCFFCC"/>
            </w:tcBorders>
            <w:shd w:val="clear" w:color="auto" w:fill="CCFFCC"/>
          </w:tcPr>
          <w:p>
            <w:pPr>
              <w:spacing w:after="0"/>
              <w:rPr>
                <w:sz w:val="12"/>
                <w:szCs w:val="12"/>
                <w:color w:val="auto"/>
              </w:rPr>
            </w:pPr>
          </w:p>
        </w:tc>
        <w:tc>
          <w:tcPr>
            <w:tcW w:w="160" w:type="dxa"/>
            <w:vAlign w:val="bottom"/>
            <w:tcBorders>
              <w:top w:val="single" w:sz="8" w:color="auto"/>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465</w:t>
            </w:r>
          </w:p>
        </w:tc>
        <w:tc>
          <w:tcPr>
            <w:tcW w:w="36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bottom w:val="single" w:sz="8" w:color="auto"/>
            </w:tcBorders>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362,583</w:t>
            </w:r>
          </w:p>
        </w:tc>
        <w:tc>
          <w:tcPr>
            <w:tcW w:w="3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(342,505</w:t>
            </w:r>
          </w:p>
        </w:tc>
        <w:tc>
          <w:tcPr>
            <w:tcW w:w="180" w:type="dxa"/>
            <w:vAlign w:val="bottom"/>
            <w:tcBorders>
              <w:top w:val="single" w:sz="8" w:color="CCFFCC"/>
            </w:tcBorders>
            <w:shd w:val="clear" w:color="auto" w:fill="CCFFCC"/>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(119</w:t>
            </w:r>
          </w:p>
        </w:tc>
        <w:tc>
          <w:tcPr>
            <w:tcW w:w="180" w:type="dxa"/>
            <w:vAlign w:val="bottom"/>
            <w:tcBorders>
              <w:top w:val="single" w:sz="8" w:color="CCFFCC"/>
            </w:tcBorders>
            <w:shd w:val="clear" w:color="auto" w:fill="CCFFCC"/>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auto"/>
              <w:bottom w:val="single" w:sz="8" w:color="auto"/>
            </w:tcBorders>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20,424</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jc w:val="right"/>
              <w:ind w:right="7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(7,294)</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Depreciation</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Provision to reduce inventory to net realizable value</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Gain on sales of marketable securities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Accrued investment income</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Finished goods inventory</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Income taxes refundable</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Other current deferred assets</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80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(7,398</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(7,612)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sale of marketable securities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8,604</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969</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6"/>
              </w:rPr>
              <w:t>Statutory minimum withholding taxes paid on the distribution of common stock pursuant to restricted stock</w:t>
            </w: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unit plan and exercise of stock options</w:t>
            </w:r>
          </w:p>
        </w:tc>
        <w:tc>
          <w:tcPr>
            <w:tcW w:w="2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“at the market” offering</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Offering transaction costs</w:t>
            </w: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FFCC"/>
            </w:tcBorders>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(6,892)</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31,159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FFCC"/>
          </w:tcPr>
          <w:p>
            <w:pPr>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(refunded) during the period for:</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Income taxes, net of refunds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w:t>
            </w:r>
          </w:p>
        </w:tc>
        <w:tc>
          <w:tcPr>
            <w:tcW w:w="4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2013</w:t>
      </w:r>
    </w:p>
    <w:p>
      <w:pPr>
        <w:spacing w:after="0" w:line="225" w:lineRule="exact"/>
        <w:rPr>
          <w:sz w:val="20"/>
          <w:szCs w:val="20"/>
          <w:color w:val="auto"/>
        </w:rPr>
      </w:pPr>
    </w:p>
    <w:p>
      <w:pPr>
        <w:jc w:val="both"/>
        <w:ind w:left="340" w:right="2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3 thousand shares for $7 in exercise costs and withholding 321 thousand shares for $712 in statutory minimum payroll taxes, a net 505 thousand shares of common stock were issued.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to purchase 7 thousand shares of common stock were exercised utilizing various cashless exercise features of our plan and after withholding 3 thousand shares for $9 in exercise costs and withholding 1 thousand shares for $4 in statutory minimum payroll taxes, we issued 3 thousand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2012</w:t>
      </w:r>
    </w:p>
    <w:p>
      <w:pPr>
        <w:spacing w:after="0" w:line="225" w:lineRule="exact"/>
        <w:rPr>
          <w:sz w:val="20"/>
          <w:szCs w:val="20"/>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2 thousand shares for $7 in exercise costs and withholding 296 thousand shares for $1,034 in statutory minimum payroll taxes; we issued 531 thousand shares of common stock.</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to purchase 17 thousand shares of common stock were exercised utilizing various cashless exercise features of our plan and after withholding 7 thousand shares for $22 in exercise costs and withholding 3 thousand shares for $12 in statutory minimum payroll taxes, we issued 7 thousand shares of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We have also developed our Impede® Technology which is a combination of inactive ingredients that are intended to prevent the extraction of pseudoephedrine from tablets and disrupt the direct conversion of pseudoephedrine from tablets into methamphetamine. In late December 2012 we launched in the United States, Nexafed® (pseudoephedrine HC1) tablets formulated with our Impede Technology.</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three and six months ended June 30, 2013 are not necessarily indicative of results expected for the full year ending December 31, 2013. These unaudited consolidated financial statements should be read in conjunction with the audited consolidated financial statements and footnotes thereto for the year ended December 31, 2012 included in the Company's Annual Report on Form 10-K filed with the Securities and Exchange Commission. The 2012 year-end consolidated balance sheet presented in this Report was derived from the Company’s 2012 year-end audited consolidated financial statements, but does not include all disclosures required by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RESEARCH AND DEVELOPMENT ACTIVITIES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had $5 thousand accrued for CRO and clinical trial study expenses at June 30, 2013. We had no accrued costs at December 31,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6"/>
          <w:szCs w:val="16"/>
          <w:color w:val="auto"/>
        </w:rPr>
        <w:t>Nexafed was launched in mid-December 2012. The Company sells Nexafed in the United States to wholesale pharmaceutical distributors and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Accordingly, the Company has deferred recognition of revenue on $61 thousand of product shipments of Nexafed since its launch until the right of return no longer exists or adequate history and information is available to estimate product returns.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a License, Development, and Commercialization Agreement dated October 30, 2007 with King Pharmaceuticals Research and Development, Inc., now a subsidiary of Pfizer Inc. (the “Pfizer Agreement”). Commencing in February 2013, we began earning royalties based on net sales of Oxecta by Pfizer. Such royalties are paid to us within 45 days after the end of each calendar quarter. We have recorded royalties of approximately $5 thousand for the six month period ended June 30, 2013 on Oxecta’ s net sales of approximately $100 thousand.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shipping and handling costs in selling expenses. The costs recorded to selling expenses from the shipments of Nexafed during the six month period ended June 30, 2013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LICENSE, DEVELOPMENT, AND COMMERCIALIZATION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30, 2007, we and King Pharmaceuticals Research and Development, Inc., now a wholly-owned subsidiary of Pfizer, entered into the Pfizer Agreement to develop and commercialize in the United States, Canada and Mexico, or the Pfizer Territories, certain opioid analgesic products utilizing our proprietary Aversion Technology. Oxecta was approved on June 17, 2011 and sales of Oxecta by Pfizer commenced February 2012. On September 24, 2012, we entered into a letter agreement with Pfizer which amended the Pfizer Agreement and provided for the termination of Pfizer’s license to our Aversion® Technology used in the three development-stage products licensed to Pfizer and for the transfer of these products back to us. These development-stage products were hydrocodone bitartrate/acetaminophen tablets, oxycodone HCl/acetaminophen tablets and an undisclosed opioid.</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the Pfizer Agreement, we and Pfizer formed a joint steering committee to oversee development and commercialization strategies for Oxecta. Pfizer is responsible, at its own expense, for all regulatory, manufacturing and commercialization activities for Oxecta in all Pfizer Territories. Subject to the Pfizer Agreement, Pfizer will have final decision making authority with respect to all regulatory and commercialization activities for Oxecta.</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receive a one-time $50 million sales milestone payment upon the first attainment of $750 million in net sales of Oxecta across all Pfizer Territories. In addition, for Oxecta sales occurring on and following February 2, 2013 (the one year anniversary of the first commercial sale of Oxecta), Pfizer will pay us a royalty at one of six rates ranging from 5% to 25% based on the level of annual net sales for Oxecta across all Pfizer Territories, with the highest applicable royalty rate applied to such annual sales.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Pfizer’s royalty payment obligations for Oxecta expire on a country-by-country basis upon the later of (i) the expiration of the last valid patent claim covering Oxecta in such country, or (ii) 15 years from the first commercial sale of Oxecta in such country. No minimum annual fees are payable by either party under the Pfizer Agreement. If Pfizer, after consultation with us, enters into a license agreement with a third party to avoid or settle such third party’s allegations or claims regarding freedom to operate against Oxecta, Pfizer may deduct 50% of any royalties or other license payments it pays to such third party under such license, provided that the royalties payable to us are no less than 80% of the royalties otherwise due to us under the Pfizer Agreement.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Pfizer Agreement expires upon the expiration of Pfizer’s royalty payment and other payment obligations under the Pfizer Agreement. Pfizer may terminate the Pfizer Agreement in its entirety at any time by written notice to us. We may terminate the Pfizer Agreement in its entirety if Pfizer commences any interference or opposition proceeding challenging the validity or enforceability of any of our patent rights licensed to Pfizer under the Pfizer Agreement. Either party has the right to terminate the Pfizer Agreement on a country-by-country basis if the other party is in material breach of its obligations under the Pfizer Agreement relating to such country, and to terminate the Agreement in its entirety in the event the other party makes an assignment for the benefit of creditors, files a petition in bankruptcy or otherwise seeks relief under applicable bankruptcy laws, in each case subject to applicable cure periods.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7"/>
          <w:szCs w:val="17"/>
          <w:color w:val="auto"/>
        </w:rPr>
        <w:t>In the event of termination, no payments are due except those royalties and milestones that have accrued prior to termination under the Pfizer Agreement and all licenses under the Pfizer Agreement are terminated. For all Acura terminations and termination by Pfizer where we are not in breach, the Pfizer Agreement provides for the transition of development and marketing of the licensed products from Pfizer to us, including the conveyance by Pfizer to us of the trademarks and all regulatory filings and approvals solely used in connection with the commercialization of such licensed products and, in certain cases, for Pfizer’s supply of such licensed products for a transitional period at Pfizer’s cost plus a mark-up.</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about September 17, 2012, we believe the FDA internally changed the status of Oxecta to be considered a Reference Listed Drug, or RLD. An RLD is the standard to which all generic versions must be shown to be bioequivalent and a drug company seeking approval to market a generic equivalent must refer to the RLD. By designating Oxecta as an RLD, the FDA was allowed to accept ANDAs referencing Oxecta.</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20, 2012, we announced that we had received a Paragraph IV Certification Notice under 21 U.S.C. 355(j) (a Paragraph IV Notice) from a generic sponsor seeking FDA approval to market a generic version of Oxecta. Since such date, we have received similar Paragraph IV Notices from four other generic pharmaceutical companies. The Paragraph IV Notices refer to our U.S. Patent Numbers 7,201,920, 7,510,726 and 7,981,439, which cover our Aversion Technology and Oxecta and are listed in the FDA Orange Book. The Paragraph IV Notices state that each generic sponsor believes that such patents are invalid, unenforceable or not infringed. Pfizer, Acura’s licensee for Oxecta, has advised us that they will not exercise their first right under the Pfizer Agreement to control the enforcement of the ANDA litigation against the generic sponsors. As a result, on October 31, 2012, we initiated suit against each of Watson Laboratories, Inc. – Florida (“Watson”), Par Pharmaceutical, Inc. (“Par”), Impax Laboratories, Inc. (“Impax”), and Sandoz Inc. (“Sandoz”), and on April 29, 2013 we initiated suit against Ranbaxy Pharmaceuticals, Inc., each in the United States District Court for the District of Delaware alleging infringement of our U.S. Patent No. 7,510,726. The commencement of such litigation prohibits the FDA from granting approval of the filed ANDAs until the earliest of 30 months from the date Acura received notice of the first Paragraph IV certification, or the conclusion of litigation. The litigation is in its early stages. If any subsequent infringement suit is initiated in Delaware, it is likely that the suit would be consolidated with the current action.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 2013, the court granted our motion to dismiss the suit against Watson on the grounds that Watson had amended its ANDA from a Paragraph IV certification to Paragraph III, which indicated its intent not to market its product in advance of our patents expiring.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course of the litigation, Acura has executed a covenant not to sue Par on Acura’s 7,201,920 and 7,981,439 patents based on the products described in its ANDAs.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 2013, the USPTO issued U.S. Patent No. 8,409,616 with claims directed at our Aversion Technology. This patent was listed in FDA’s Orange Book on April 22, 2013 which will require all of the Paragraph IV ANDA filers to decide whether to amend their Paragraph IV certifications to include this newly issued patent</w:t>
      </w:r>
      <w:r>
        <w:rPr>
          <w:rFonts w:ascii="Arial" w:cs="Arial" w:eastAsia="Arial" w:hAnsi="Arial"/>
          <w:sz w:val="18"/>
          <w:szCs w:val="18"/>
          <w:b w:val="1"/>
          <w:bCs w:val="1"/>
          <w:color w:val="auto"/>
        </w:rPr>
        <w:t>.</w:t>
      </w:r>
      <w:r>
        <w:rPr>
          <w:rFonts w:ascii="Arial" w:cs="Arial" w:eastAsia="Arial" w:hAnsi="Arial"/>
          <w:sz w:val="18"/>
          <w:szCs w:val="18"/>
          <w:color w:val="auto"/>
        </w:rPr>
        <w:t xml:space="preserve"> Par, Ranbaxy and Impax have certified Paragraph IV against the ‘616 patent asserting that the ‘616 patent is either invalid or unenforceable or that their generic product will not infringe the claims of the patent.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Litigation is inherently uncertain and we cannot predict the outcome of these infringement actions. If any of these generic companies prevails in its respective lawsuit and is able to obtain FDA approval of its product, it may be able to launch its generic version of Oxecta prior to the expiration of our patents in 2025. Additionally, it is possible that other generic manufacturers may also seek to launch a generic version of Oxecta and challenge our patents. Any determination in these infringement actions that our patents covering our Aversion Technology and Oxecta are invalid or unenforceable, in whole or in part, or that the products covered by generic sponsors’ ANDAs do not infringe our patents, could materially adversely affect the Company’s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accounts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June 30, 2013 and December 31, 2012,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Our NOL carryforwards will expire in varying amounts between 2013 and 2031 if not used, and those expirations will cause fluctuations in our valuation allowances.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NOTE 6 – INVESTMENTS IN MARKETABLE SECURITIES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1"/>
              </w:rPr>
              <w:t>June 30, 2013</w:t>
            </w:r>
          </w:p>
        </w:tc>
        <w:tc>
          <w:tcPr>
            <w:tcW w:w="1800" w:type="dxa"/>
            <w:vAlign w:val="bottom"/>
            <w:gridSpan w:val="4"/>
          </w:tcPr>
          <w:p>
            <w:pPr>
              <w:ind w:left="280"/>
              <w:spacing w:after="0"/>
              <w:rPr>
                <w:sz w:val="20"/>
                <w:szCs w:val="20"/>
                <w:color w:val="auto"/>
              </w:rPr>
            </w:pPr>
            <w:r>
              <w:rPr>
                <w:rFonts w:ascii="Arial" w:cs="Arial" w:eastAsia="Arial" w:hAnsi="Arial"/>
                <w:sz w:val="18"/>
                <w:szCs w:val="18"/>
                <w:color w:val="auto"/>
                <w:w w:val="94"/>
              </w:rPr>
              <w:t>December 31, 2012</w:t>
            </w:r>
          </w:p>
        </w:tc>
        <w:tc>
          <w:tcPr>
            <w:tcW w:w="0" w:type="dxa"/>
            <w:vAlign w:val="bottom"/>
          </w:tcPr>
          <w:p>
            <w:pPr>
              <w:spacing w:after="0"/>
              <w:rPr>
                <w:sz w:val="1"/>
                <w:szCs w:val="1"/>
                <w:color w:val="auto"/>
              </w:rPr>
            </w:pPr>
          </w:p>
        </w:tc>
      </w:tr>
      <w:tr>
        <w:trPr>
          <w:trHeight w:val="210"/>
        </w:trPr>
        <w:tc>
          <w:tcPr>
            <w:tcW w:w="6400" w:type="dxa"/>
            <w:vAlign w:val="bottom"/>
            <w:gridSpan w:val="2"/>
            <w:vMerge w:val="restart"/>
          </w:tcPr>
          <w:p>
            <w:pPr>
              <w:ind w:left="580"/>
              <w:spacing w:after="0"/>
              <w:rPr>
                <w:sz w:val="20"/>
                <w:szCs w:val="20"/>
                <w:color w:val="auto"/>
              </w:rPr>
            </w:pPr>
            <w:r>
              <w:rPr>
                <w:rFonts w:ascii="Arial" w:cs="Arial" w:eastAsia="Arial" w:hAnsi="Arial"/>
                <w:sz w:val="18"/>
                <w:szCs w:val="18"/>
                <w:color w:val="auto"/>
              </w:rPr>
              <w:t>Marketable securities:</w:t>
            </w:r>
          </w:p>
        </w:tc>
        <w:tc>
          <w:tcPr>
            <w:tcW w:w="1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(in millions)</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1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46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Corporate bonds — maturing after 1 through 4 years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Pooled investment fund</w:t>
            </w: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Exchange-traded funds</w:t>
            </w:r>
          </w:p>
        </w:tc>
        <w:tc>
          <w:tcPr>
            <w:tcW w:w="154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marketable securities</w:t>
            </w:r>
          </w:p>
        </w:tc>
        <w:tc>
          <w:tcPr>
            <w:tcW w:w="1540" w:type="dxa"/>
            <w:vAlign w:val="bottom"/>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w:t>
            </w:r>
          </w:p>
        </w:tc>
        <w:tc>
          <w:tcPr>
            <w:tcW w:w="300" w:type="dxa"/>
            <w:vAlign w:val="bottom"/>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 as they may be sold within one year </w:t>
      </w:r>
      <w:r>
        <w:rPr>
          <w:rFonts w:ascii="Arial" w:cs="Arial" w:eastAsia="Arial" w:hAnsi="Arial"/>
          <w:sz w:val="18"/>
          <w:szCs w:val="18"/>
          <w:color w:val="111111"/>
        </w:rPr>
        <w:t>in response to changes in market prices or interest rates, to realign our investment concentrations or to meet our</w:t>
      </w:r>
      <w:r>
        <w:rPr>
          <w:rFonts w:ascii="Arial" w:cs="Arial" w:eastAsia="Arial" w:hAnsi="Arial"/>
          <w:sz w:val="18"/>
          <w:szCs w:val="18"/>
          <w:color w:val="auto"/>
        </w:rPr>
        <w:t xml:space="preserve"> </w:t>
      </w:r>
      <w:r>
        <w:rPr>
          <w:rFonts w:ascii="Arial" w:cs="Arial" w:eastAsia="Arial" w:hAnsi="Arial"/>
          <w:sz w:val="18"/>
          <w:szCs w:val="18"/>
          <w:color w:val="111111"/>
        </w:rPr>
        <w:t>working capital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87"/>
              </w:rPr>
              <w:t>June 30, 2013</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6"/>
              </w:rPr>
              <w:t>(in millions)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Fair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vMerge w:val="restart"/>
          </w:tcPr>
          <w:p>
            <w:pPr>
              <w:ind w:left="2300"/>
              <w:spacing w:after="0"/>
              <w:rPr>
                <w:sz w:val="20"/>
                <w:szCs w:val="20"/>
                <w:color w:val="auto"/>
              </w:rPr>
            </w:pPr>
            <w:r>
              <w:rPr>
                <w:rFonts w:ascii="Arial" w:cs="Arial" w:eastAsia="Arial" w:hAnsi="Arial"/>
                <w:sz w:val="18"/>
                <w:szCs w:val="18"/>
                <w:color w:val="auto"/>
              </w:rPr>
              <w:t>Available-for-sale:</w:t>
            </w:r>
          </w:p>
        </w:tc>
        <w:tc>
          <w:tcPr>
            <w:tcW w:w="16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Cost</w:t>
            </w: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5"/>
              </w:rPr>
              <w:t>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Pooled investment fund</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Exchange-traded funds</w:t>
            </w:r>
          </w:p>
        </w:tc>
        <w:tc>
          <w:tcPr>
            <w:tcW w:w="16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8"/>
                <w:szCs w:val="18"/>
                <w:color w:val="auto"/>
              </w:rPr>
              <w:t>Total - Current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color w:val="auto"/>
              </w:rPr>
              <w:t>December 31, 2012</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6"/>
              </w:rPr>
              <w:t>(in millions)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8"/>
                <w:szCs w:val="18"/>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Fair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vMerge w:val="restart"/>
          </w:tcPr>
          <w:p>
            <w:pPr>
              <w:ind w:left="2300"/>
              <w:spacing w:after="0"/>
              <w:rPr>
                <w:sz w:val="20"/>
                <w:szCs w:val="20"/>
                <w:color w:val="auto"/>
              </w:rPr>
            </w:pPr>
            <w:r>
              <w:rPr>
                <w:rFonts w:ascii="Arial" w:cs="Arial" w:eastAsia="Arial" w:hAnsi="Arial"/>
                <w:sz w:val="18"/>
                <w:szCs w:val="18"/>
                <w:color w:val="auto"/>
              </w:rPr>
              <w:t>Available-for-sale:</w:t>
            </w:r>
          </w:p>
        </w:tc>
        <w:tc>
          <w:tcPr>
            <w:tcW w:w="16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Cost</w:t>
            </w: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5"/>
              </w:rPr>
              <w:t>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Pooled investment fund</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Exchange-traded funds</w:t>
            </w:r>
          </w:p>
        </w:tc>
        <w:tc>
          <w:tcPr>
            <w:tcW w:w="160" w:type="dxa"/>
            <w:vAlign w:val="bottom"/>
            <w:shd w:val="clear" w:color="auto" w:fill="CCFFCC"/>
          </w:tcPr>
          <w:p>
            <w:pPr>
              <w:spacing w:after="0"/>
              <w:rPr>
                <w:sz w:val="19"/>
                <w:szCs w:val="19"/>
                <w:color w:val="auto"/>
              </w:rPr>
            </w:pP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FFCC"/>
          </w:tcPr>
          <w:p>
            <w:pPr>
              <w:spacing w:after="0"/>
              <w:rPr>
                <w:sz w:val="19"/>
                <w:szCs w:val="19"/>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9"/>
                <w:szCs w:val="19"/>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8"/>
                <w:szCs w:val="18"/>
                <w:color w:val="auto"/>
              </w:rPr>
              <w:t>Total - Current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9</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 We had no liabilities at June 30, 2013 meeting fair value measurement.</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assets measured at fair value or disclosed at fair value on a recurring basis as at June 30, 2013 and December 31, 2012 consisted of the following (in millions):</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7"/>
              </w:rPr>
              <w:t>June 30, 2013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98"/>
              </w:rPr>
              <w:t>(in millions)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Level 1</w:t>
            </w:r>
          </w:p>
        </w:tc>
        <w:tc>
          <w:tcPr>
            <w:tcW w:w="10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60"/>
              <w:spacing w:after="0"/>
              <w:rPr>
                <w:sz w:val="20"/>
                <w:szCs w:val="20"/>
                <w:color w:val="auto"/>
              </w:rPr>
            </w:pPr>
            <w:r>
              <w:rPr>
                <w:rFonts w:ascii="Arial" w:cs="Arial" w:eastAsia="Arial" w:hAnsi="Arial"/>
                <w:sz w:val="18"/>
                <w:szCs w:val="18"/>
                <w:color w:val="auto"/>
              </w:rPr>
              <w:t>Pooled investment fund</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Exchange-traded funds</w:t>
            </w:r>
          </w:p>
        </w:tc>
        <w:tc>
          <w:tcPr>
            <w:tcW w:w="1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89"/>
              </w:rPr>
              <w:t>December 31, 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color w:val="auto"/>
                <w:w w:val="98"/>
              </w:rPr>
              <w:t>(in millions)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Level 1</w:t>
            </w:r>
          </w:p>
        </w:tc>
        <w:tc>
          <w:tcPr>
            <w:tcW w:w="10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60"/>
              <w:spacing w:after="0"/>
              <w:rPr>
                <w:sz w:val="20"/>
                <w:szCs w:val="20"/>
                <w:color w:val="auto"/>
              </w:rPr>
            </w:pPr>
            <w:r>
              <w:rPr>
                <w:rFonts w:ascii="Arial" w:cs="Arial" w:eastAsia="Arial" w:hAnsi="Arial"/>
                <w:sz w:val="18"/>
                <w:szCs w:val="18"/>
                <w:color w:val="auto"/>
              </w:rPr>
              <w:t>Pooled investment fund</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Exchange-traded funds</w:t>
            </w:r>
          </w:p>
        </w:tc>
        <w:tc>
          <w:tcPr>
            <w:tcW w:w="1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on marketable securities consisted of cumulative unrealized losses of $89 thousand and $40 thousand at June 30, 2013 and December 31, 2012 respectively.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Comprehensive income (loss) includes all changes in equity during a period except those that resulted from investments by or distributions to the Company’s stockholders. Other comprehensive income (loss) refers to revenues, expenses, gains and losses that, under GAAP, are included in comprehensive income (loss), but excluded from net income (loss) as these amounts are recorded directly as an adjustment to stockholders’ equity. Acura’s other comprehensive income (loss) is composed of unrealized gains (losses) on certain holdings of marketable securities, net of any realized gains (losses) included in net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Inventories consist of finished goods held for sale and distribution on our Nexafed product. Inventories are stated at the lower of cost (first-in, first-out method) or market (net realizable value). The Company writes down inventories to net realizable value based on forecasted demand and market conditions, which may differ from actual results. Our gross inventory is valued at $0.8 million and $0.2 million at June 30, 2013 and December 31, 2012, respectively. During the second quarter of 2013 we established an inventory reserve of $0.4 million which results in a net reported inventory value of $0.4 million at June 30, 2013. We did not have an inventory reserve at December 31, 2012. The cost of sales on $61 thousand of product shipments of Nexafed since its launch date is excluded from the value of the June 30, 2013 inventory and is reported in the Balance Sheet account as a deferred asset until the right of return no longer exists or adequate history and information is available to estimate product returns on the product shipments. Purchases of active pharmaceutical ingredients and raw materials required for our development and clinical trial manufacture of product candidates utilizing our Aversion or Impede Technologies are expensed as incurred.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NOTE 8 - ACCRUED EXPENSES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 (in thousands):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23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4"/>
          </w:tcPr>
          <w:p>
            <w:pPr>
              <w:ind w:left="80"/>
              <w:spacing w:after="0"/>
              <w:rPr>
                <w:sz w:val="20"/>
                <w:szCs w:val="20"/>
                <w:color w:val="auto"/>
              </w:rPr>
            </w:pPr>
            <w:r>
              <w:rPr>
                <w:rFonts w:ascii="Arial" w:cs="Arial" w:eastAsia="Arial" w:hAnsi="Arial"/>
                <w:sz w:val="18"/>
                <w:szCs w:val="18"/>
                <w:color w:val="auto"/>
              </w:rPr>
              <w:t>December</w:t>
            </w:r>
          </w:p>
        </w:tc>
      </w:tr>
      <w:tr>
        <w:trPr>
          <w:trHeight w:val="230"/>
        </w:trPr>
        <w:tc>
          <w:tcPr>
            <w:tcW w:w="23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June 30,</w:t>
            </w:r>
          </w:p>
        </w:tc>
        <w:tc>
          <w:tcPr>
            <w:tcW w:w="18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476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Payroll, payroll taxes, bonus and benefits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Property taxes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Contract manufacturing services</w:t>
            </w: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Clinical and regulatory services</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Other fees and services</w:t>
            </w:r>
          </w:p>
        </w:tc>
        <w:tc>
          <w:tcPr>
            <w:tcW w:w="12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share-based compensation plans covering stock options and Restricted Stock Units (“RSU”) for our employees and directors.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expense recognized in the Company’s results of operations for the period is shown below (in thousands</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20" w:type="dxa"/>
            <w:vAlign w:val="bottom"/>
            <w:gridSpan w:val="4"/>
          </w:tcPr>
          <w:p>
            <w:pPr>
              <w:jc w:val="right"/>
              <w:ind w:right="45"/>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2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gridSpan w:val="3"/>
          </w:tcPr>
          <w:p>
            <w:pPr>
              <w:jc w:val="right"/>
              <w:ind w:right="485"/>
              <w:spacing w:after="0"/>
              <w:rPr>
                <w:sz w:val="20"/>
                <w:szCs w:val="20"/>
                <w:color w:val="auto"/>
              </w:rPr>
            </w:pPr>
            <w:r>
              <w:rPr>
                <w:rFonts w:ascii="Arial" w:cs="Arial" w:eastAsia="Arial" w:hAnsi="Arial"/>
                <w:sz w:val="18"/>
                <w:szCs w:val="18"/>
                <w:color w:val="auto"/>
              </w:rPr>
              <w:t>June 30,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Stock options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Research and development</w:t>
            </w:r>
          </w:p>
        </w:tc>
        <w:tc>
          <w:tcPr>
            <w:tcW w:w="1680" w:type="dxa"/>
            <w:vAlign w:val="bottom"/>
            <w:gridSpan w:val="2"/>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980" w:type="dxa"/>
            <w:vAlign w:val="bottom"/>
            <w:gridSpan w:val="2"/>
            <w:shd w:val="clear" w:color="auto" w:fill="CCFFCC"/>
          </w:tcPr>
          <w:p>
            <w:pPr>
              <w:jc w:val="right"/>
              <w:ind w:right="54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w:t>
            </w:r>
          </w:p>
        </w:tc>
        <w:tc>
          <w:tcPr>
            <w:tcW w:w="44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50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FFC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234</w:t>
            </w:r>
          </w:p>
        </w:tc>
        <w:tc>
          <w:tcPr>
            <w:tcW w:w="280" w:type="dxa"/>
            <w:vAlign w:val="bottom"/>
            <w:tcBorders>
              <w:bottom w:val="single" w:sz="8" w:color="CCFFC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333</w:t>
            </w:r>
          </w:p>
        </w:tc>
        <w:tc>
          <w:tcPr>
            <w:tcW w:w="24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8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315</w:t>
            </w:r>
          </w:p>
        </w:tc>
        <w:tc>
          <w:tcPr>
            <w:tcW w:w="280" w:type="dxa"/>
            <w:vAlign w:val="bottom"/>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jc w:val="right"/>
              <w:ind w:right="54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424</w:t>
            </w:r>
          </w:p>
        </w:tc>
        <w:tc>
          <w:tcPr>
            <w:tcW w:w="240" w:type="dxa"/>
            <w:vAlign w:val="bottom"/>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2013, the Company has stock options issued and outstanding under three stock option plans. The Company’s 1995 and 1998 Stock Option Plans have expired but stock options awarded under such plans remain outstanding under the terms of those plans. The Company’s 2008 Stock Option Plan remains in effect. Absent a change in control, the balance of the vested non-incentive stock options (“NonISO”) granted under the 1998 and 2008 stock option plans may be exercised in equal amounts during each of calendar years 2013 and 2014.</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290" w:lineRule="auto"/>
        <w:rPr>
          <w:sz w:val="20"/>
          <w:szCs w:val="20"/>
          <w:color w:val="auto"/>
        </w:rPr>
      </w:pPr>
      <w:r>
        <w:rPr>
          <w:rFonts w:ascii="Arial" w:cs="Arial" w:eastAsia="Arial" w:hAnsi="Arial"/>
          <w:sz w:val="16"/>
          <w:szCs w:val="16"/>
          <w:color w:val="auto"/>
        </w:rPr>
        <w:t>Exercise of NonISOs by employees may require the Company to make minimum statutory withholding tax (“withholding tax”) payments for such employee on any gain on such shares at the time of exercise. The employee is responsible for providing sufficient funds to the Company to make such withholding tax payments. However, under the Company’s stock option plans, the employee may elect to take a partial distribution of the exercised NonISO shares and have the Company retain the balance of the exercised shares in satisfaction of the employee’s withholding tax payments. In such event, the Company becomes obligated to directly pay the withholding taxes of such employee and will retain a sufficient number of exercised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NonISOs exercised by employees and the closing market price of our common stock at the time of exercise. Such withholding tax will be paid and charged against additional paid in capital as the NonISOs are exercised.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2013, 14 thousand NonISOs were exercised by our employees. Our employees elected to have 4 thousand shares withheld in satisfaction of $14 thousand for both the exercise costs and the withholding tax obligations resulting in the net issuance of 10 thousand common shares to them. During the six months ended June 30, 2012, 23 thousand NonISOs were exercised by our employees. Our employees elected to have 10 thousand shares withheld in satisfaction of $34 thousand for both the exercise costs and the withholding tax obligations which resulted in the net issuance of 13 thousand common shares to them.</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2013 the Company had $1.0 million of unrecognized share-based compensation expense from stock option grants, which will be recognized in our consolidated financial statements over their remaining vesting periods of the option grants over the next 1.4 years. Under the provisions of the stock option plans, if a change in control occurs, an acceleration of unvested shares will occur and any remaining unrecognized share-based compensation expense will be recognized in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stock option award activity during the six months ended June 30, 2013 and 2012 is shown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6"/>
          </w:tcPr>
          <w:p>
            <w:pPr>
              <w:jc w:val="center"/>
              <w:ind w:right="48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20" w:type="dxa"/>
            <w:vAlign w:val="bottom"/>
            <w:gridSpan w:val="4"/>
            <w:vMerge w:val="restart"/>
          </w:tcPr>
          <w:p>
            <w:pPr>
              <w:jc w:val="right"/>
              <w:ind w:right="5"/>
              <w:spacing w:after="0"/>
              <w:rPr>
                <w:sz w:val="20"/>
                <w:szCs w:val="20"/>
                <w:color w:val="auto"/>
              </w:rPr>
            </w:pPr>
            <w:r>
              <w:rPr>
                <w:rFonts w:ascii="Arial" w:cs="Arial" w:eastAsia="Arial" w:hAnsi="Arial"/>
                <w:sz w:val="18"/>
                <w:szCs w:val="18"/>
                <w:color w:val="auto"/>
              </w:rPr>
              <w:t>2013</w:t>
            </w:r>
          </w:p>
        </w:tc>
        <w:tc>
          <w:tcPr>
            <w:tcW w:w="1320" w:type="dxa"/>
            <w:vAlign w:val="bottom"/>
            <w:gridSpan w:val="4"/>
          </w:tcPr>
          <w:p>
            <w:pPr>
              <w:jc w:val="center"/>
              <w:ind w:left="590"/>
              <w:spacing w:after="0"/>
              <w:rPr>
                <w:sz w:val="20"/>
                <w:szCs w:val="20"/>
                <w:color w:val="auto"/>
              </w:rPr>
            </w:pPr>
            <w:r>
              <w:rPr>
                <w:rFonts w:ascii="Arial" w:cs="Arial" w:eastAsia="Arial" w:hAnsi="Arial"/>
                <w:sz w:val="18"/>
                <w:szCs w:val="18"/>
                <w:color w:val="auto"/>
                <w:w w:val="86"/>
              </w:rPr>
              <w:t>June 30,</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420" w:type="dxa"/>
            <w:vAlign w:val="bottom"/>
            <w:tcBorders>
              <w:bottom w:val="single" w:sz="8" w:color="auto"/>
            </w:tcBorders>
            <w:gridSpan w:val="4"/>
            <w:vMerge w:val="continue"/>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18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10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90"/>
              </w:rPr>
              <w:t>Number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center"/>
              <w:ind w:right="580"/>
              <w:spacing w:after="0"/>
              <w:rPr>
                <w:sz w:val="20"/>
                <w:szCs w:val="20"/>
                <w:color w:val="auto"/>
              </w:rPr>
            </w:pPr>
            <w:r>
              <w:rPr>
                <w:rFonts w:ascii="Arial" w:cs="Arial" w:eastAsia="Arial" w:hAnsi="Arial"/>
                <w:sz w:val="18"/>
                <w:szCs w:val="18"/>
                <w:color w:val="auto"/>
                <w:w w:val="86"/>
              </w:rPr>
              <w:t>Average</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Options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jc w:val="center"/>
              <w:ind w:right="580"/>
              <w:spacing w:after="0"/>
              <w:rPr>
                <w:sz w:val="20"/>
                <w:szCs w:val="20"/>
                <w:color w:val="auto"/>
              </w:rPr>
            </w:pPr>
            <w:r>
              <w:rPr>
                <w:rFonts w:ascii="Arial" w:cs="Arial" w:eastAsia="Arial" w:hAnsi="Arial"/>
                <w:sz w:val="18"/>
                <w:szCs w:val="18"/>
                <w:color w:val="auto"/>
                <w:w w:val="89"/>
              </w:rPr>
              <w:t>Exercise</w:t>
            </w: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(000’s)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jc w:val="center"/>
              <w:ind w:right="540"/>
              <w:spacing w:after="0"/>
              <w:rPr>
                <w:sz w:val="20"/>
                <w:szCs w:val="20"/>
                <w:color w:val="auto"/>
              </w:rPr>
            </w:pPr>
            <w:r>
              <w:rPr>
                <w:rFonts w:ascii="Arial" w:cs="Arial" w:eastAsia="Arial" w:hAnsi="Arial"/>
                <w:sz w:val="18"/>
                <w:szCs w:val="18"/>
                <w:color w:val="auto"/>
                <w:w w:val="92"/>
              </w:rPr>
              <w:t>Price</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(000’s)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3,296</w:t>
            </w: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3,556</w:t>
            </w:r>
          </w:p>
        </w:tc>
        <w:tc>
          <w:tcPr>
            <w:tcW w:w="26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Forfeited or expired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3,342</w:t>
            </w:r>
          </w:p>
        </w:tc>
        <w:tc>
          <w:tcPr>
            <w:tcW w:w="1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5.46</w:t>
            </w:r>
          </w:p>
        </w:tc>
        <w:tc>
          <w:tcPr>
            <w:tcW w:w="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2,935</w:t>
            </w:r>
          </w:p>
        </w:tc>
        <w:tc>
          <w:tcPr>
            <w:tcW w:w="260" w:type="dxa"/>
            <w:vAlign w:val="bottom"/>
            <w:tcBorders>
              <w:top w:val="single" w:sz="8" w:color="CCFFCC"/>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5.86</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Options exercisable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Black-Scholes model to determine fair value for the stock option awards granted during the period are show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20" w:type="dxa"/>
            <w:vAlign w:val="bottom"/>
            <w:gridSpan w:val="4"/>
          </w:tcPr>
          <w:p>
            <w:pPr>
              <w:jc w:val="center"/>
              <w:ind w:left="190"/>
              <w:spacing w:after="0"/>
              <w:rPr>
                <w:sz w:val="20"/>
                <w:szCs w:val="20"/>
                <w:color w:val="auto"/>
              </w:rPr>
            </w:pPr>
            <w:r>
              <w:rPr>
                <w:rFonts w:ascii="Arial" w:cs="Arial" w:eastAsia="Arial" w:hAnsi="Arial"/>
                <w:sz w:val="18"/>
                <w:szCs w:val="18"/>
                <w:color w:val="auto"/>
                <w:w w:val="91"/>
              </w:rPr>
              <w:t>Six Months Ended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color w:val="auto"/>
                <w:w w:val="86"/>
              </w:rPr>
              <w:t>June 30,</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FFC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CCFFC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6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1.86%</w:t>
            </w:r>
          </w:p>
        </w:tc>
        <w:tc>
          <w:tcPr>
            <w:tcW w:w="6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1.97%</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volatility</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5"/>
              </w:rPr>
              <w:t>114%</w:t>
            </w:r>
          </w:p>
        </w:tc>
        <w:tc>
          <w:tcPr>
            <w:tcW w:w="68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5"/>
              </w:rPr>
              <w:t>114%</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Expected forfeitures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6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Expected holding period</w:t>
            </w:r>
          </w:p>
        </w:tc>
        <w:tc>
          <w:tcPr>
            <w:tcW w:w="30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 years</w:t>
            </w:r>
          </w:p>
        </w:tc>
        <w:tc>
          <w:tcPr>
            <w:tcW w:w="3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 years</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3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right"/>
              <w:ind w:right="1890"/>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has RSUs issued and outstanding under a Restricted Stock Unit Award Plan (“2005 RSU Plan”) for its employees and directors. An RSU represents the contingent obligation of the Company to deliver a share of its common stock to the holders of a vested RSU on a specified distribution date. To date, 75% of RSU awards under the 2005 RSU Plan have been distributed. Absent a change of control, the balance of the RSU awards will be distributed on January 1, 2014. Distribution of RSU shares to employees may require the Company to make minimum statutory withholding tax payments for such employees on any gain on such shares at the time of distribution. The employee is responsible for providing sufficient funds to the Company to make such withholding tax payments. However, under the 2005 RSU Plan, the employee may elect to take a partial distribution of shares and have the Company retain the balance of the share distribution in satisfaction of the withholding tax payments. In such event, the Company becomes obligated to directly pay the withholding taxes of such employee and will retain a sufficient number of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RSU shares distributed to employees and the closing market price of our common stock at the time of distribution. Such withholding taxes will be paid and charged against additional paid-in capital as the RSU shares are distributed.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each January 1st of 2013, 2012 and 2011, 0.83 million RSUs were distributed to our employees and directors. Our employees made elections to withhold 0.32 million shares in satisfaction of $0.71 million withholding tax obligations resulted in the net issuance of 0.50 million shares in January 2013. Our employees made elections to withhold 0.30 million shares in satisfaction of $1.0 million withholding tax obligations resulted in the net issuance of 0.53 million shares in January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Plan as of June 30, 2013 and 2012 and for the six months then ended consisted of the following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tcPr>
          <w:p>
            <w:pPr>
              <w:jc w:val="center"/>
              <w:ind w:right="520"/>
              <w:spacing w:after="0"/>
              <w:rPr>
                <w:sz w:val="20"/>
                <w:szCs w:val="20"/>
                <w:color w:val="auto"/>
              </w:rPr>
            </w:pPr>
            <w:r>
              <w:rPr>
                <w:rFonts w:ascii="Arial" w:cs="Arial" w:eastAsia="Arial" w:hAnsi="Arial"/>
                <w:sz w:val="18"/>
                <w:szCs w:val="18"/>
                <w:color w:val="auto"/>
                <w:w w:val="91"/>
              </w:rPr>
              <w:t>Six Months Ended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2013</w:t>
            </w:r>
          </w:p>
        </w:tc>
        <w:tc>
          <w:tcPr>
            <w:tcW w:w="1380" w:type="dxa"/>
            <w:vAlign w:val="bottom"/>
            <w:gridSpan w:val="3"/>
          </w:tcPr>
          <w:p>
            <w:pPr>
              <w:jc w:val="center"/>
              <w:ind w:left="610"/>
              <w:spacing w:after="0"/>
              <w:rPr>
                <w:sz w:val="20"/>
                <w:szCs w:val="20"/>
                <w:color w:val="auto"/>
              </w:rPr>
            </w:pPr>
            <w:r>
              <w:rPr>
                <w:rFonts w:ascii="Arial" w:cs="Arial" w:eastAsia="Arial" w:hAnsi="Arial"/>
                <w:sz w:val="18"/>
                <w:szCs w:val="18"/>
                <w:color w:val="auto"/>
                <w:w w:val="86"/>
              </w:rPr>
              <w:t>June 30,</w:t>
            </w:r>
          </w:p>
        </w:tc>
        <w:tc>
          <w:tcPr>
            <w:tcW w:w="11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2012</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80" w:type="dxa"/>
            <w:vAlign w:val="bottom"/>
            <w:gridSpan w:val="3"/>
          </w:tcPr>
          <w:p>
            <w:pPr>
              <w:ind w:left="220"/>
              <w:spacing w:after="0"/>
              <w:rPr>
                <w:sz w:val="20"/>
                <w:szCs w:val="20"/>
                <w:color w:val="auto"/>
              </w:rPr>
            </w:pPr>
            <w:r>
              <w:rPr>
                <w:rFonts w:ascii="Arial" w:cs="Arial" w:eastAsia="Arial" w:hAnsi="Arial"/>
                <w:sz w:val="18"/>
                <w:szCs w:val="18"/>
                <w:color w:val="auto"/>
              </w:rPr>
              <w:t>Number</w:t>
            </w:r>
          </w:p>
        </w:tc>
        <w:tc>
          <w:tcPr>
            <w:tcW w:w="1380" w:type="dxa"/>
            <w:vAlign w:val="bottom"/>
            <w:gridSpan w:val="3"/>
          </w:tcPr>
          <w:p>
            <w:pPr>
              <w:jc w:val="center"/>
              <w:ind w:right="580"/>
              <w:spacing w:after="0"/>
              <w:rPr>
                <w:sz w:val="20"/>
                <w:szCs w:val="20"/>
                <w:color w:val="auto"/>
              </w:rPr>
            </w:pPr>
            <w:r>
              <w:rPr>
                <w:rFonts w:ascii="Arial" w:cs="Arial" w:eastAsia="Arial" w:hAnsi="Arial"/>
                <w:sz w:val="18"/>
                <w:szCs w:val="18"/>
                <w:color w:val="auto"/>
                <w:w w:val="85"/>
              </w:rPr>
              <w:t>Vested</w:t>
            </w:r>
          </w:p>
        </w:tc>
        <w:tc>
          <w:tcPr>
            <w:tcW w:w="1160" w:type="dxa"/>
            <w:vAlign w:val="bottom"/>
            <w:gridSpan w:val="3"/>
          </w:tcPr>
          <w:p>
            <w:pPr>
              <w:ind w:left="40"/>
              <w:spacing w:after="0"/>
              <w:rPr>
                <w:sz w:val="20"/>
                <w:szCs w:val="20"/>
                <w:color w:val="auto"/>
              </w:rPr>
            </w:pPr>
            <w:r>
              <w:rPr>
                <w:rFonts w:ascii="Arial" w:cs="Arial" w:eastAsia="Arial" w:hAnsi="Arial"/>
                <w:sz w:val="18"/>
                <w:szCs w:val="18"/>
                <w:color w:val="auto"/>
              </w:rPr>
              <w:t>Number</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80" w:type="dxa"/>
            <w:vAlign w:val="bottom"/>
            <w:gridSpan w:val="3"/>
          </w:tcPr>
          <w:p>
            <w:pPr>
              <w:ind w:left="200"/>
              <w:spacing w:after="0"/>
              <w:rPr>
                <w:sz w:val="20"/>
                <w:szCs w:val="20"/>
                <w:color w:val="auto"/>
              </w:rPr>
            </w:pPr>
            <w:r>
              <w:rPr>
                <w:rFonts w:ascii="Arial" w:cs="Arial" w:eastAsia="Arial" w:hAnsi="Arial"/>
                <w:sz w:val="18"/>
                <w:szCs w:val="18"/>
                <w:color w:val="auto"/>
              </w:rPr>
              <w:t>of RSUs</w:t>
            </w:r>
          </w:p>
        </w:tc>
        <w:tc>
          <w:tcPr>
            <w:tcW w:w="138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RSUs</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of RSUs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RSUs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2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spacing w:after="0"/>
              <w:rPr>
                <w:sz w:val="18"/>
                <w:szCs w:val="18"/>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2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2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auto"/>
              <w:bottom w:val="single" w:sz="8" w:color="auto"/>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2,487</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Distributed</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Vested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9"/>
                <w:szCs w:val="19"/>
                <w:color w:val="auto"/>
              </w:rPr>
            </w:pPr>
          </w:p>
        </w:tc>
        <w:tc>
          <w:tcPr>
            <w:tcW w:w="6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Outstanding, ending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FINANCING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universal shelf registration statement on Form S-3 was declared effective by the Securities and Exchange Commission (“SEC”) on March 15, 2013. On April 18, 2013, we filed a prospectus supplement with the SEC pursuant to which we may sell shares of our common stock from time to time in “at the market” offerings and certain other transactions, having sales proceeds of up to $13 million. During the three months ended June 30, 2013, we sold approximately 114 thousand shares of our common stock under a Sales Agreement with MLV &amp; Co., our sales agent, through an “at the market” offering, for gross proceeds of approximately $0.25 million. Transaction costs were approximately $8 thousand. The net proceeds of approximately $0.24 million will be used for general corporate purposes, which may include working capital, capital expenditures, research, development and marketing expenditures, clinical trial expenditures, acquisitions of new technologies, and possible investments in or acquisitions of, complementary businesses or technologies.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outstanding common stock purchase warrants at June 30, 2013 exercisable for 1.9 million shares of common stock, all of which contain a cashless exercise feature. These warrants have an exercise price of $3.40 per share and expiration date of August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 EARNINGS PER SHARE (“EPS”)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EPS is computed by dividing net income or loss by the weighted average common shares outstanding during a period, including shares weighted related to vested RSUs.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These common stock equivalents are excluded from the computation where their inclusion would be anti-dilutive. No such adjustments were made for either 2013 or 2012 as the Company reported a net loss for the three month and six month periods, and including the effects of these common stock equivalents in the diluted EPS calculation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for the period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7"/>
          </w:tcPr>
          <w:p>
            <w:pPr>
              <w:jc w:val="right"/>
              <w:ind w:right="8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4"/>
          </w:tcPr>
          <w:p>
            <w:pPr>
              <w:jc w:val="right"/>
              <w:ind w:right="90"/>
              <w:spacing w:after="0"/>
              <w:rPr>
                <w:sz w:val="20"/>
                <w:szCs w:val="20"/>
                <w:color w:val="auto"/>
              </w:rPr>
            </w:pPr>
            <w:r>
              <w:rPr>
                <w:rFonts w:ascii="Arial" w:cs="Arial" w:eastAsia="Arial" w:hAnsi="Arial"/>
                <w:sz w:val="18"/>
                <w:szCs w:val="18"/>
                <w:color w:val="auto"/>
              </w:rPr>
              <w:t>June 30,</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4"/>
          </w:tcPr>
          <w:p>
            <w:pPr>
              <w:jc w:val="right"/>
              <w:ind w:right="7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EPS – basic and diluted</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Numerator: net loss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(3,076)</w:t>
            </w:r>
          </w:p>
        </w:tc>
        <w:tc>
          <w:tcPr>
            <w:tcW w:w="44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(2,179)</w:t>
            </w:r>
          </w:p>
        </w:tc>
        <w:tc>
          <w:tcPr>
            <w:tcW w:w="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(7,294)</w:t>
            </w:r>
          </w:p>
        </w:tc>
        <w:tc>
          <w:tcPr>
            <w:tcW w:w="4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(4,512)</w:t>
            </w:r>
          </w:p>
        </w:tc>
        <w:tc>
          <w:tcPr>
            <w:tcW w:w="0" w:type="dxa"/>
            <w:vAlign w:val="bottom"/>
          </w:tcPr>
          <w:p>
            <w:pPr>
              <w:spacing w:after="0"/>
              <w:rPr>
                <w:sz w:val="1"/>
                <w:szCs w:val="1"/>
                <w:color w:val="auto"/>
              </w:rPr>
            </w:pPr>
          </w:p>
        </w:tc>
      </w:tr>
      <w:tr>
        <w:trPr>
          <w:trHeight w:val="210"/>
        </w:trPr>
        <w:tc>
          <w:tcPr>
            <w:tcW w:w="5260" w:type="dxa"/>
            <w:vAlign w:val="bottom"/>
          </w:tcPr>
          <w:p>
            <w:pPr>
              <w:ind w:left="18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Common shares</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46,399</w:t>
            </w: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45,863</w:t>
            </w: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46,386</w:t>
            </w:r>
          </w:p>
        </w:tc>
        <w:tc>
          <w:tcPr>
            <w:tcW w:w="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45,861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Vested RSUs</w:t>
            </w: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1,658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Basic and diluted weighted average shares outstanding</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47,228</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47,521</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47,215</w:t>
            </w:r>
          </w:p>
        </w:tc>
        <w:tc>
          <w:tcPr>
            <w:tcW w:w="2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47,519</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EPS – basic and 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FFCC"/>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FFCC"/>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Excluded securities: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Common shares issuable:</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3,342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2,935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Common stock warrants</w:t>
            </w:r>
          </w:p>
        </w:tc>
        <w:tc>
          <w:tcPr>
            <w:tcW w:w="2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1,856</w:t>
            </w:r>
          </w:p>
        </w:tc>
        <w:tc>
          <w:tcPr>
            <w:tcW w:w="1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1,856</w:t>
            </w:r>
          </w:p>
        </w:tc>
        <w:tc>
          <w:tcPr>
            <w:tcW w:w="14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1,856</w:t>
            </w:r>
          </w:p>
        </w:tc>
        <w:tc>
          <w:tcPr>
            <w:tcW w:w="1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500"/>
              <w:spacing w:after="0"/>
              <w:rPr>
                <w:sz w:val="20"/>
                <w:szCs w:val="20"/>
                <w:color w:val="auto"/>
              </w:rPr>
            </w:pPr>
            <w:r>
              <w:rPr>
                <w:rFonts w:ascii="Arial" w:cs="Arial" w:eastAsia="Arial" w:hAnsi="Arial"/>
                <w:sz w:val="18"/>
                <w:szCs w:val="18"/>
                <w:color w:val="auto"/>
              </w:rPr>
              <w:t>Total excluded common shares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2014 for approximately $25 thousand annually.</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this product liability litigation against numerous pharmaceutical product manufacturers and distributors, including us, plaintiffs claim injuries from their use of the Reglan brand of metoclopramide and generic metoclopramide.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Pennsylvania state court mass tort proceeding, over 200 lawsuits have been filed against us and Halsey Drug Company alleging that plaintiffs developed neurological disorders as a result of their use of the Reglan brand and/or generic metoclopramide. Plaintiffs have filed approximately 150 lawsuits against us, but have served less than 50 individual lawsuits upon us in the New Jersey action. In the California action, we were not served with any complaints until the spring of 2011 when a single complaint including over 400 plaintiffs was served. To date, Acura has not been served with any metoclopramide lawsuits in jurisdictions other than Philadelphia, New Jersey and California state courts.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15 years ago. In addition, we believe the June 23, 2011 decision by the U.S. Supreme Court in </w:t>
      </w:r>
      <w:r>
        <w:rPr>
          <w:rFonts w:ascii="Arial" w:cs="Arial" w:eastAsia="Arial" w:hAnsi="Arial"/>
          <w:sz w:val="18"/>
          <w:szCs w:val="18"/>
          <w:i w:val="1"/>
          <w:iCs w:val="1"/>
          <w:color w:val="auto"/>
        </w:rPr>
        <w:t>PLIVA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Acura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Philadelphia,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18, 2011, the Philadelphia trial court denied Generic Defendants’ dispositive motion. In December 2011, the Generic Defendants appealed this ruling. On April 13, 2012, all trial court proceedings were stayed pending decisions by the Pennsylvania appellate courts. On November 28, 2012, the Pennsylvania Superior Court heard the appellate oral argument. A decision on this appeal should be issued later in 2013. This appeal process eventually could result in dismissal of all of the Philadelphia cases against all generic defendants including Acura, although there can be no assurance in this regard. Legal fees related to this matter are currently covered by our insurance carrier.</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California, the trial court issued an April 17, 2012 ruling (confirmed in a May 25, 2012 Order) denying Generic Defendants’ dispositive preemption motions. The Generics Defendants’ appeals from this order were denied by the California appellate courts. Therefore, plaintiffs are now permitted to proceed with their lawsuits including state law claims based on (1) failing to communicate warnings to physicians through “Dear Doctor” letters; (2) failure to update labeling to adopt brand labeling changes; and (3) failure to withdraw generic products from the market. Despite its refusal to grant the demurrer or motion to strike, the California trial court acknowledged the preemptive effect of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As any potential loss is neither probable nor estimable, we have not accrued for any potential loss related to this matter as of June 30, 2013 and we are presently unable to determine if any potential loss would be covered by our insurance carrier. Legal fees related to this matter are currently covered by our insurance carrier.</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Financial Advisor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August 2007 Unit Offering, we are obligated to pay a fee to our then financial advisor upon each exercise of the warrants issued in the Unit Offering, in proportion to the number of warrants exercised. The amount of the fee assuming 100% exercise of the remaining 1.9 million warrants is $0.38 million. We have not reflected this obligation as a liability in our consolidated financial statements as the payment is contingent upon the timing and exercise of the warrants by each of the warrant holders. Such fee, if any, will be paid to the financial advisor and be offset against the equity proceeds as the warrants are exercised.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 our and our licensee's ability to successfully launch and commercialize our products and technologies including Oxecta® Tablets and Nexafed® Tablets, the price discounting that may be offered by Pfizer for Oxecta, our and our licensee's ability to obtain necessary regulatory approvals and commercialize products utilizing our technologies and the market acceptance of and competitive environment for any of our products, the willingness of wholesalers and pharmacies to stock Nexafed Tablets, expectations regarding potential market share for our products and the timing of first sales, our ability to enter into additional license agreements for our other product candidates, our exposure to product liability and other lawsuits in connection with the commercialization of our products, the increased cost of insurance and the availability of product liability insurance coverage, the ability to avoid infringement of patents, trademarks and other proprietary rights of third parties, and the ability of our patents to protect our products from generic competition, our ability to protect and enforce our patent rights in any paragraph IV patent infringement litigation, and 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to meet over-the-counter, or OTC, Monograph standards as applicable, the adequacy of the development program for our product candidates, including whether additional clinical studies will be required to support FDA approval of our product candidates, changes in regulatory requirements, adverse safety findings relating to our product candidates, whether the FDA will agree with our analysis of our clinical and laboratory studies and how it may evaluate the results of these studies or whether further studies of our product candidates will be required to support FDA approval, whether or when we are able to obtain FDA approval of labeling for our product candidates for the proposed indications and will be able to promote the features of our abuse discouraging technologies, whether our product candidates will ultimately deter abuse in commercial settings and whether our Impede technology will disrupt the processing of pseudoephedrine into methamphetamine. 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and beliefs with respect to future events and are based on assumptions and subject to significant risks and uncertainties. Given these uncertainties, you should not place undue reliance on these forward-looking statements. We discuss many of these risks in greater detail in our filings with the Securities and Exchange Commission.</w:t>
      </w:r>
    </w:p>
    <w:p>
      <w:pPr>
        <w:spacing w:after="0" w:line="3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Forward-looking statements speak only as of the date of this Report, and Acura undertakes no obligation to update or revise these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specialty pharmaceutical company engaged in the research, development and commercialization of technologies and products intended to address medication abuse and misuse. We have discovered and developed two proprietary technologies. Our Aversion® Technology is a mixture of inactive ingredients incorporated into pharmaceutical tablets and capsules intended to address some common methods of product tampering associated with opioid abuse. Pfizer Inc.’s Oxecta (oxycodone HCl) tablets, CII is the first approved and marketed product utilizing Aversion and is commercialized under a license agreement we have with a subsidiary of Pfizer, or the Pfizer Agreement. We have also developed our Impede® Technology which is a combination of inactive ingredients that are intended to prevent the extraction of pseudoephedrine from tablets and disrupt the direct conversion of pseudoephedrine from tablets into methamphetamine.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88" w:lineRule="auto"/>
        <w:rPr>
          <w:sz w:val="20"/>
          <w:szCs w:val="20"/>
          <w:color w:val="auto"/>
        </w:rPr>
      </w:pPr>
      <w:r>
        <w:rPr>
          <w:rFonts w:ascii="Arial" w:cs="Arial" w:eastAsia="Arial" w:hAnsi="Arial"/>
          <w:sz w:val="16"/>
          <w:szCs w:val="16"/>
          <w:color w:val="auto"/>
        </w:rPr>
        <w:t>We have 7 additional opioid products utilizing Aversion in various stages of development. Pursuant to a September 24, 2012 letter agreement with Pfizer, all rights to these development-stage opioid products have reverted back to us. Our product containing hydrocodone bitartrate and acetaminophen utilizing the Aversion technology, or hydrocodone/acetaminophen, is the most advanced opioid product in development and the primary focus of our opioid development efforts. Hydrocodone/acetaminophen is the most widely prescribed and often abused opioid product in the United States. Pfizer previously completed a clinical study demonstrating the hydrocodone/acetaminophen product is bioequivalent to its reference listed drug, however we believe the Pfizer product may have contained up to 12% more hydrocodone bitartrate than expected. We have estimated that the Pfizer study would have achieved the bioequivalence standard after adjusting the results for such additional amount of hydrocodone bitartrate. We filed an Investigational New Drug Application, or IND, with the Food and Drug Administration, or FDA, on December 20, 2012, which became effective in late January 2013 and allows us to commence clinical trials. We expect that the development program for our hydrocodone/acetaminophen product and our other Aversion opioid products in development will be consistent with that of Oxecta. We anticipate submitting a 505(b)(2) NDA with the FDA for our hydrocodone/acetaminophen product in the first half of 2014.</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launched Nexafed commercially in mid-December 2012 into the $1 billion United States over the counter market, or OTC, for cold and allergy products containing a nasal decongestant through drug wholesalers to retail pharmacies. Nexafed was demonstrated in a clinical study to meet the FDA Guideline standards for bioequivalence to the reference drug Sudafed® marketed by Johnson &amp; Johnson Corporation. We anticipate developing line extensions for our Nexafed franchise to capitalize on the many different combination offerings in the OTC cold/allergy market. We have developed a second generation prototype formulation of our Impede Technology, or Impede 2.0, to further improve our Nexafed franchise. Studies sponsored by us at an independent laboratory using an optimized, high yield direct conversion test method that is designed to replicate the direct conversion, or one-pot, process commonly used by clandestine methamphetamine laboratories yielded no measurable amount of methamphetamine compared to an approximate 38% yield with our older Impede Technology. We intend to incorporate Impede 2.0 into Nexafed.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discovered an early-stage technology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Aversion Technology is a unique composition of inactive pharmaceutical ingredients utilized with an opioid or other drug susceptible of abuse to provide abuse deterrent functionality. We have four issued U.S. patents covering all of our Aversion Technology opioid products, which patents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88" w:lineRule="exact"/>
        <w:rPr>
          <w:sz w:val="20"/>
          <w:szCs w:val="20"/>
          <w:color w:val="auto"/>
        </w:rPr>
      </w:pPr>
    </w:p>
    <w:p>
      <w:pPr>
        <w:jc w:val="both"/>
        <w:ind w:left="660" w:hanging="4"/>
        <w:spacing w:after="0" w:line="279" w:lineRule="auto"/>
        <w:tabs>
          <w:tab w:leader="none" w:pos="1156" w:val="left"/>
        </w:tabs>
        <w:numPr>
          <w:ilvl w:val="0"/>
          <w:numId w:val="5"/>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71" w:lineRule="exact"/>
        <w:rPr>
          <w:rFonts w:ascii="Arial" w:cs="Arial" w:eastAsia="Arial" w:hAnsi="Arial"/>
          <w:sz w:val="17"/>
          <w:szCs w:val="17"/>
          <w:color w:val="auto"/>
        </w:rPr>
      </w:pPr>
    </w:p>
    <w:p>
      <w:pPr>
        <w:jc w:val="both"/>
        <w:ind w:left="660" w:hanging="4"/>
        <w:spacing w:after="0" w:line="259" w:lineRule="auto"/>
        <w:tabs>
          <w:tab w:leader="none" w:pos="1145"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extent and manner in which any of the features described below will be described in the FDA approved label for our pipeline products will be dependent on the results of and the acceptance by the FDA of our and our licensees’ studies for each product.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Oxecta®</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Oxecta is a Schedule II narcotic indicated for the management of acute and chronic moderate to severe pain where the use of an opioid analgesic is appropriate. Oxecta utilizes our Aversion Technology. Pfizer received FDA approval for its 505(b)(2) NDA for Oxecta on June 17, 2011 and introduced the product into the market in February 2012. Pending receipt of the FDA’s advice on Pfizer’s proposed Oxecta promotional materials, which were submitted to the FDA in July 2102, Pfizer did not market Oxecta to physicians. As such, Pfizer attained no meaningful sales of Oxecta in 2012 or in the quarter ended June 30, 2013. Following Pfizer’s April 2013 receipt of the FDA’s advice on its Oxecta promotional materials, we have been informed by Pfizer that it will expand commercialization of Oxecta to health care providers in the fourth quarter of 2013. These activities will be directed to a national cross section of healthcare professionals who treat pain, but will not include the use of field representatives.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Oxecta 5mg and 7.5mg tablets was established by demonstrating bioequivalence to commercially available oxycodone immediate-release tablets in the fasted state. Oxecta differs from oxycodone tablets when taken with a high fat meal though these differences are not considered clinically relevant, and Oxecta can be taken without regard to food. The FDA-approved label for Oxecta describes elements unique to our Aversion Technology, which differs from current commercially available oxycodone immediate-release tablets. The label for Oxecta includes the results from a clinical study that evaluated the effects of nasally snorting crushed Oxecta and commercially available oxycodone tablets, and limitations on exposing Oxecta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98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 of subjects exposed to Oxecta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subjects taking Oxecta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Oxecta tablets within a fixed time period (21 of 40 subjects), while all subjects were able to completely insufflate the entire dose of immediate-release oxycodone; and</w:t>
      </w:r>
    </w:p>
    <w:p>
      <w:pPr>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Oxecta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Oxecta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Oxecta has a reduced liability compared to immediate release oxycodone. Pfizer has agreed to a post-approval commitment with the FDA to perform an epidemiology study to assess the actual impact on abuse of Oxecta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Oxecta product label guides patients not to crush and dissolve the tablets or pre-soak, lick or otherwise wet the tablets prior to administration. Similarly, caregivers are advised not to crush and dissolve the tablets or otherwise use Oxecta for administration via nasogastric, gastric or other feeding tubes as it may cause an obstruction. Our laboratory studies demonstrated that the Oxecta tablet characteristics may change when Oxecta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License, Development and Commercialization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2007, we entered into a License, Development and Commercialization Agreement, or the Pfizer Agreement, with King Pharmaceuticals Research and Development, Inc., now a subsidiary of Pfizer, covering the United States, Canada and Mexico. Under the Pfizer Agreement, Pfizer will manufacture and commercialize Oxecta in the United States. As of June 30, 2013, we had received an aggregate of $78.5 million in payments from Pfizer in the form of a $30.0 million upfront cash payment, milestone payments, option fees and reimbursement for research and development expenses, including a $20.0 million milestone fee relating to the receipt of FDA approval of the NDA for Oxecta. In addition, we are eligible to receive milestone payments based on future Oxecta regulatory events and product sales achievements, and tiered royalties of 5% - 25% on annual net sales of Oxecta.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Aversion Technology Opioid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multiple opioid products utilizing our Aversion Technology in various stages of development, including the following:</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405"/>
        </w:trPr>
        <w:tc>
          <w:tcPr>
            <w:tcW w:w="32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Aversion Technology Tablets</w:t>
            </w:r>
          </w:p>
        </w:tc>
        <w:tc>
          <w:tcPr>
            <w:tcW w:w="230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6"/>
              </w:rPr>
              <w:t>Comparable Brand Name</w:t>
            </w:r>
            <w:r>
              <w:rPr>
                <w:rFonts w:ascii="Arial" w:cs="Arial" w:eastAsia="Arial" w:hAnsi="Arial"/>
                <w:sz w:val="30"/>
                <w:szCs w:val="30"/>
                <w:color w:val="auto"/>
                <w:w w:val="96"/>
                <w:vertAlign w:val="superscript"/>
              </w:rPr>
              <w:t>1</w:t>
            </w:r>
          </w:p>
        </w:tc>
        <w:tc>
          <w:tcPr>
            <w:tcW w:w="5900" w:type="dxa"/>
            <w:vAlign w:val="bottom"/>
            <w:tcBorders>
              <w:top w:val="single" w:sz="8" w:color="auto"/>
              <w:bottom w:val="single" w:sz="8" w:color="auto"/>
              <w:right w:val="single" w:sz="8" w:color="auto"/>
            </w:tcBorders>
          </w:tcPr>
          <w:p>
            <w:pPr>
              <w:ind w:left="2720"/>
              <w:spacing w:after="0"/>
              <w:rPr>
                <w:sz w:val="20"/>
                <w:szCs w:val="20"/>
                <w:color w:val="auto"/>
              </w:rPr>
            </w:pPr>
            <w:r>
              <w:rPr>
                <w:rFonts w:ascii="Arial" w:cs="Arial" w:eastAsia="Arial" w:hAnsi="Arial"/>
                <w:sz w:val="18"/>
                <w:szCs w:val="18"/>
                <w:color w:val="auto"/>
              </w:rPr>
              <w:t>Status</w:t>
            </w:r>
          </w:p>
        </w:tc>
      </w:tr>
      <w:tr>
        <w:trPr>
          <w:trHeight w:val="411"/>
        </w:trPr>
        <w:tc>
          <w:tcPr>
            <w:tcW w:w="3220" w:type="dxa"/>
            <w:vAlign w:val="bottom"/>
            <w:tcBorders>
              <w:left w:val="single" w:sz="8" w:color="auto"/>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Hydrocodone bitartrate/acetaminophen</w:t>
            </w:r>
          </w:p>
        </w:tc>
        <w:tc>
          <w:tcPr>
            <w:tcW w:w="2300" w:type="dxa"/>
            <w:vAlign w:val="bottom"/>
            <w:tcBorders>
              <w:right w:val="single" w:sz="8" w:color="auto"/>
            </w:tcBorders>
            <w:shd w:val="clear" w:color="auto" w:fill="CCFFCC"/>
          </w:tcPr>
          <w:p>
            <w:pPr>
              <w:spacing w:after="0"/>
              <w:rPr>
                <w:sz w:val="20"/>
                <w:szCs w:val="20"/>
                <w:color w:val="auto"/>
              </w:rPr>
            </w:pPr>
            <w:r>
              <w:rPr>
                <w:rFonts w:ascii="Arial" w:cs="Arial" w:eastAsia="Arial" w:hAnsi="Arial"/>
                <w:sz w:val="18"/>
                <w:szCs w:val="18"/>
                <w:color w:val="auto"/>
              </w:rPr>
              <w:t>Vicodin®, Lortab®, Norco®</w:t>
            </w:r>
          </w:p>
        </w:tc>
        <w:tc>
          <w:tcPr>
            <w:tcW w:w="5900" w:type="dxa"/>
            <w:vAlign w:val="bottom"/>
            <w:tcBorders>
              <w:right w:val="single" w:sz="8" w:color="auto"/>
            </w:tcBorders>
            <w:shd w:val="clear" w:color="auto" w:fill="CCFFCC"/>
          </w:tcPr>
          <w:p>
            <w:pPr>
              <w:spacing w:after="0"/>
              <w:rPr>
                <w:sz w:val="20"/>
                <w:szCs w:val="20"/>
                <w:color w:val="auto"/>
              </w:rPr>
            </w:pPr>
            <w:r>
              <w:rPr>
                <w:rFonts w:ascii="Arial" w:cs="Arial" w:eastAsia="Arial" w:hAnsi="Arial"/>
                <w:sz w:val="18"/>
                <w:szCs w:val="18"/>
                <w:color w:val="auto"/>
              </w:rPr>
              <w:t>IND submitted to the FDA on December 20, 2012.</w:t>
            </w:r>
          </w:p>
        </w:tc>
      </w:tr>
      <w:tr>
        <w:trPr>
          <w:trHeight w:val="230"/>
        </w:trPr>
        <w:tc>
          <w:tcPr>
            <w:tcW w:w="3220" w:type="dxa"/>
            <w:vAlign w:val="bottom"/>
            <w:tcBorders>
              <w:left w:val="single" w:sz="8" w:color="auto"/>
              <w:bottom w:val="single" w:sz="8" w:color="auto"/>
              <w:right w:val="single" w:sz="8" w:color="auto"/>
            </w:tcBorders>
            <w:shd w:val="clear" w:color="auto" w:fill="CCFFCC"/>
          </w:tcPr>
          <w:p>
            <w:pPr>
              <w:spacing w:after="0"/>
              <w:rPr>
                <w:sz w:val="20"/>
                <w:szCs w:val="20"/>
                <w:color w:val="auto"/>
              </w:rPr>
            </w:pPr>
          </w:p>
        </w:tc>
        <w:tc>
          <w:tcPr>
            <w:tcW w:w="2300" w:type="dxa"/>
            <w:vAlign w:val="bottom"/>
            <w:tcBorders>
              <w:bottom w:val="single" w:sz="8" w:color="auto"/>
              <w:right w:val="single" w:sz="8" w:color="auto"/>
            </w:tcBorders>
            <w:shd w:val="clear" w:color="auto" w:fill="CCFFCC"/>
          </w:tcPr>
          <w:p>
            <w:pPr>
              <w:spacing w:after="0"/>
              <w:rPr>
                <w:sz w:val="20"/>
                <w:szCs w:val="20"/>
                <w:color w:val="auto"/>
              </w:rPr>
            </w:pPr>
          </w:p>
        </w:tc>
        <w:tc>
          <w:tcPr>
            <w:tcW w:w="590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8"/>
                <w:szCs w:val="18"/>
                <w:color w:val="auto"/>
              </w:rPr>
              <w:t>NDA submission targeted for the first half of 2014.</w:t>
            </w:r>
          </w:p>
        </w:tc>
      </w:tr>
      <w:tr>
        <w:trPr>
          <w:trHeight w:val="250"/>
        </w:trPr>
        <w:tc>
          <w:tcPr>
            <w:tcW w:w="3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Hydromorphone HCl</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Dilaudid®</w:t>
            </w:r>
          </w:p>
        </w:tc>
        <w:tc>
          <w:tcPr>
            <w:tcW w:w="5900" w:type="dxa"/>
            <w:vAlign w:val="bottom"/>
            <w:tcBorders>
              <w:bottom w:val="single" w:sz="8" w:color="auto"/>
              <w:right w:val="single" w:sz="8" w:color="auto"/>
            </w:tcBorders>
          </w:tcPr>
          <w:p>
            <w:pPr>
              <w:spacing w:after="0" w:line="251" w:lineRule="exact"/>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tc>
      </w:tr>
      <w:tr>
        <w:trPr>
          <w:trHeight w:val="250"/>
        </w:trPr>
        <w:tc>
          <w:tcPr>
            <w:tcW w:w="3220" w:type="dxa"/>
            <w:vAlign w:val="bottom"/>
            <w:tcBorders>
              <w:left w:val="single" w:sz="8" w:color="auto"/>
              <w:bottom w:val="single" w:sz="8" w:color="auto"/>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Methadone HCl</w:t>
            </w:r>
          </w:p>
        </w:tc>
        <w:tc>
          <w:tcPr>
            <w:tcW w:w="230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8"/>
                <w:szCs w:val="18"/>
                <w:color w:val="auto"/>
              </w:rPr>
              <w:t>Methadose</w:t>
            </w:r>
          </w:p>
        </w:tc>
        <w:tc>
          <w:tcPr>
            <w:tcW w:w="5900" w:type="dxa"/>
            <w:vAlign w:val="bottom"/>
            <w:tcBorders>
              <w:bottom w:val="single" w:sz="8" w:color="auto"/>
              <w:right w:val="single" w:sz="8" w:color="auto"/>
            </w:tcBorders>
            <w:shd w:val="clear" w:color="auto" w:fill="CCFFCC"/>
          </w:tcPr>
          <w:p>
            <w:pPr>
              <w:spacing w:after="0" w:line="250" w:lineRule="exact"/>
              <w:rPr>
                <w:sz w:val="20"/>
                <w:szCs w:val="20"/>
                <w:color w:val="auto"/>
              </w:rPr>
            </w:pPr>
            <w:r>
              <w:rPr>
                <w:rFonts w:ascii="Arial" w:cs="Arial" w:eastAsia="Arial" w:hAnsi="Arial"/>
                <w:sz w:val="17"/>
                <w:szCs w:val="17"/>
                <w:color w:val="auto"/>
              </w:rPr>
              <w:t>Proof of Concept</w:t>
            </w:r>
            <w:r>
              <w:rPr>
                <w:rFonts w:ascii="Arial" w:cs="Arial" w:eastAsia="Arial" w:hAnsi="Arial"/>
                <w:sz w:val="28"/>
                <w:szCs w:val="28"/>
                <w:color w:val="auto"/>
                <w:vertAlign w:val="superscript"/>
              </w:rPr>
              <w:t>2</w:t>
            </w:r>
          </w:p>
        </w:tc>
      </w:tr>
      <w:tr>
        <w:trPr>
          <w:trHeight w:val="250"/>
        </w:trPr>
        <w:tc>
          <w:tcPr>
            <w:tcW w:w="3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Morphine Sulfate</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MSIR®</w:t>
            </w:r>
          </w:p>
        </w:tc>
        <w:tc>
          <w:tcPr>
            <w:tcW w:w="590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17"/>
                <w:szCs w:val="17"/>
                <w:color w:val="auto"/>
              </w:rPr>
              <w:t>Proof of Concept</w:t>
            </w:r>
            <w:r>
              <w:rPr>
                <w:rFonts w:ascii="Arial" w:cs="Arial" w:eastAsia="Arial" w:hAnsi="Arial"/>
                <w:sz w:val="28"/>
                <w:szCs w:val="28"/>
                <w:color w:val="auto"/>
                <w:vertAlign w:val="superscript"/>
              </w:rPr>
              <w:t>2</w:t>
            </w:r>
          </w:p>
        </w:tc>
      </w:tr>
      <w:tr>
        <w:trPr>
          <w:trHeight w:val="250"/>
        </w:trPr>
        <w:tc>
          <w:tcPr>
            <w:tcW w:w="3220" w:type="dxa"/>
            <w:vAlign w:val="bottom"/>
            <w:tcBorders>
              <w:left w:val="single" w:sz="8" w:color="auto"/>
              <w:bottom w:val="single" w:sz="8" w:color="auto"/>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Oxycodone HCl/acetaminophen</w:t>
            </w:r>
          </w:p>
        </w:tc>
        <w:tc>
          <w:tcPr>
            <w:tcW w:w="230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8"/>
                <w:szCs w:val="18"/>
                <w:color w:val="auto"/>
              </w:rPr>
              <w:t>Percocet®</w:t>
            </w:r>
          </w:p>
        </w:tc>
        <w:tc>
          <w:tcPr>
            <w:tcW w:w="5900" w:type="dxa"/>
            <w:vAlign w:val="bottom"/>
            <w:tcBorders>
              <w:bottom w:val="single" w:sz="8" w:color="auto"/>
              <w:right w:val="single" w:sz="8" w:color="auto"/>
            </w:tcBorders>
            <w:shd w:val="clear" w:color="auto" w:fill="CCFFCC"/>
          </w:tcPr>
          <w:p>
            <w:pPr>
              <w:spacing w:after="0" w:line="250" w:lineRule="exact"/>
              <w:rPr>
                <w:sz w:val="20"/>
                <w:szCs w:val="20"/>
                <w:color w:val="auto"/>
              </w:rPr>
            </w:pPr>
            <w:r>
              <w:rPr>
                <w:rFonts w:ascii="Arial" w:cs="Arial" w:eastAsia="Arial" w:hAnsi="Arial"/>
                <w:sz w:val="17"/>
                <w:szCs w:val="17"/>
                <w:color w:val="auto"/>
              </w:rPr>
              <w:t>Proof of Concept</w:t>
            </w:r>
            <w:r>
              <w:rPr>
                <w:rFonts w:ascii="Arial" w:cs="Arial" w:eastAsia="Arial" w:hAnsi="Arial"/>
                <w:sz w:val="28"/>
                <w:szCs w:val="28"/>
                <w:color w:val="auto"/>
                <w:vertAlign w:val="superscript"/>
              </w:rPr>
              <w:t>2</w:t>
            </w:r>
          </w:p>
        </w:tc>
      </w:tr>
      <w:tr>
        <w:trPr>
          <w:trHeight w:val="250"/>
        </w:trPr>
        <w:tc>
          <w:tcPr>
            <w:tcW w:w="3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Oxymorphone HCl</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Opana®</w:t>
            </w:r>
          </w:p>
        </w:tc>
        <w:tc>
          <w:tcPr>
            <w:tcW w:w="5900" w:type="dxa"/>
            <w:vAlign w:val="bottom"/>
            <w:tcBorders>
              <w:bottom w:val="single" w:sz="8" w:color="auto"/>
              <w:right w:val="single" w:sz="8" w:color="auto"/>
            </w:tcBorders>
          </w:tcPr>
          <w:p>
            <w:pPr>
              <w:spacing w:after="0" w:line="250" w:lineRule="exact"/>
              <w:rPr>
                <w:sz w:val="20"/>
                <w:szCs w:val="20"/>
                <w:color w:val="auto"/>
              </w:rPr>
            </w:pPr>
            <w:r>
              <w:rPr>
                <w:rFonts w:ascii="Arial" w:cs="Arial" w:eastAsia="Arial" w:hAnsi="Arial"/>
                <w:sz w:val="17"/>
                <w:szCs w:val="17"/>
                <w:color w:val="auto"/>
              </w:rPr>
              <w:t>Proof of Concept</w:t>
            </w:r>
            <w:r>
              <w:rPr>
                <w:rFonts w:ascii="Arial" w:cs="Arial" w:eastAsia="Arial" w:hAnsi="Arial"/>
                <w:sz w:val="28"/>
                <w:szCs w:val="28"/>
                <w:color w:val="auto"/>
                <w:vertAlign w:val="superscript"/>
              </w:rPr>
              <w:t>2</w:t>
            </w:r>
          </w:p>
        </w:tc>
      </w:tr>
      <w:tr>
        <w:trPr>
          <w:trHeight w:val="250"/>
        </w:trPr>
        <w:tc>
          <w:tcPr>
            <w:tcW w:w="3220" w:type="dxa"/>
            <w:vAlign w:val="bottom"/>
            <w:tcBorders>
              <w:left w:val="single" w:sz="8" w:color="auto"/>
              <w:bottom w:val="single" w:sz="8" w:color="auto"/>
              <w:right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Tramadol HCl</w:t>
            </w:r>
          </w:p>
        </w:tc>
        <w:tc>
          <w:tcPr>
            <w:tcW w:w="2300" w:type="dxa"/>
            <w:vAlign w:val="bottom"/>
            <w:tcBorders>
              <w:bottom w:val="single" w:sz="8" w:color="auto"/>
              <w:right w:val="single" w:sz="8" w:color="auto"/>
            </w:tcBorders>
            <w:shd w:val="clear" w:color="auto" w:fill="CCFFCC"/>
          </w:tcPr>
          <w:p>
            <w:pPr>
              <w:spacing w:after="0"/>
              <w:rPr>
                <w:sz w:val="20"/>
                <w:szCs w:val="20"/>
                <w:color w:val="auto"/>
              </w:rPr>
            </w:pPr>
            <w:r>
              <w:rPr>
                <w:rFonts w:ascii="Arial" w:cs="Arial" w:eastAsia="Arial" w:hAnsi="Arial"/>
                <w:sz w:val="18"/>
                <w:szCs w:val="18"/>
                <w:color w:val="auto"/>
              </w:rPr>
              <w:t>Ultram®</w:t>
            </w:r>
          </w:p>
        </w:tc>
        <w:tc>
          <w:tcPr>
            <w:tcW w:w="5900" w:type="dxa"/>
            <w:vAlign w:val="bottom"/>
            <w:tcBorders>
              <w:bottom w:val="single" w:sz="8" w:color="auto"/>
              <w:right w:val="single" w:sz="8" w:color="auto"/>
            </w:tcBorders>
            <w:shd w:val="clear" w:color="auto" w:fill="CCFFCC"/>
          </w:tcPr>
          <w:p>
            <w:pPr>
              <w:spacing w:after="0" w:line="250" w:lineRule="exact"/>
              <w:rPr>
                <w:sz w:val="20"/>
                <w:szCs w:val="20"/>
                <w:color w:val="auto"/>
              </w:rPr>
            </w:pPr>
            <w:r>
              <w:rPr>
                <w:rFonts w:ascii="Arial" w:cs="Arial" w:eastAsia="Arial" w:hAnsi="Arial"/>
                <w:sz w:val="17"/>
                <w:szCs w:val="17"/>
                <w:color w:val="auto"/>
              </w:rPr>
              <w:t>Proof of Concept</w:t>
            </w:r>
            <w:r>
              <w:rPr>
                <w:rFonts w:ascii="Arial" w:cs="Arial" w:eastAsia="Arial" w:hAnsi="Arial"/>
                <w:sz w:val="28"/>
                <w:szCs w:val="28"/>
                <w:color w:val="auto"/>
                <w:vertAlign w:val="superscript"/>
              </w:rPr>
              <w:t>2</w:t>
            </w:r>
          </w:p>
        </w:tc>
      </w:tr>
    </w:tbl>
    <w:p>
      <w:pPr>
        <w:spacing w:after="0" w:line="12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Comparable Brand Name refers to currently marketed prescription products in the United States containing the same active analgesic ingredient(s) as in</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corresponding Aversion Technology product.</w:t>
      </w:r>
    </w:p>
    <w:p>
      <w:pPr>
        <w:spacing w:after="0" w:line="7" w:lineRule="exact"/>
        <w:rPr>
          <w:sz w:val="20"/>
          <w:szCs w:val="20"/>
          <w:color w:val="auto"/>
        </w:rPr>
      </w:pPr>
    </w:p>
    <w:p>
      <w:pPr>
        <w:ind w:left="340" w:right="20" w:hanging="332"/>
        <w:spacing w:after="0" w:line="187"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Proof of Concept is attained upon demonstration of product stability and bioavailability parameters. All proof of concept formulations contain niacin and will require reformulation.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Aversion Hydrocodone/Acetaminophen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hydrocodone/acetaminophen product was previously under development by Pfizer who, before returning the product to us: (1) removed niacin from the formulation, (2) conducted bioequivalence testing and (3) held a pre-IND meeting with the FDA. We expect our clinical development program for our hydrocodone/acetaminophen product to consist of:</w:t>
      </w:r>
    </w:p>
    <w:p>
      <w:pPr>
        <w:spacing w:after="0" w:line="181" w:lineRule="exact"/>
        <w:rPr>
          <w:sz w:val="20"/>
          <w:szCs w:val="20"/>
          <w:color w:val="auto"/>
        </w:rPr>
      </w:pPr>
    </w:p>
    <w:p>
      <w:pPr>
        <w:ind w:left="1300" w:hanging="644"/>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36 fasted subjects to establish bioequivalence of product made by a new contract manufacturer to the FDA’s reference listed drug and determine the food effect on our drug;</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24 subjects to establish safety compared to the reference listed drugs tramadol/acetaminophen (for acetaminophen) and hydrocodone bitartrate/ibuprofen (for hydrocodone);</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pharmacokinetic study in about 24 subjects demonstrating dose proportionality of our formulation;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nasal abuse liability liking study in about 40 recreational drug users against a reference drug, or Study AP-ADF-301;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and particle size characteristics of our product;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w:t>
      </w:r>
    </w:p>
    <w:p>
      <w:pPr>
        <w:spacing w:after="0" w:line="211"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We commenced enrollment in Study AP-ADF-301 in February 2013 and the last subject completed dosing in March 2013. We are conducting the statistical analysis for this study and expect to announce results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this year</w:t>
      </w:r>
      <w:r>
        <w:rPr>
          <w:rFonts w:ascii="Arial" w:cs="Arial" w:eastAsia="Arial" w:hAnsi="Arial"/>
          <w:sz w:val="18"/>
          <w:szCs w:val="18"/>
          <w:b w:val="1"/>
          <w:bCs w:val="1"/>
          <w:color w:val="auto"/>
        </w:rPr>
        <w:t>.</w:t>
      </w:r>
    </w:p>
    <w:p>
      <w:pPr>
        <w:spacing w:after="0" w:line="45"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We have commenced scale -up activities for our Aversion hydrocodone/acetaminophen product to the proposed commercial manufacturer with the expected completion of our registration batches by mid-3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this year</w:t>
      </w:r>
      <w:r>
        <w:rPr>
          <w:rFonts w:ascii="Arial" w:cs="Arial" w:eastAsia="Arial" w:hAnsi="Arial"/>
          <w:sz w:val="18"/>
          <w:szCs w:val="18"/>
          <w:b w:val="1"/>
          <w:bCs w:val="1"/>
          <w:color w:val="auto"/>
        </w:rPr>
        <w:t>.</w:t>
      </w:r>
    </w:p>
    <w:p>
      <w:pPr>
        <w:spacing w:after="0" w:line="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the development program outlined above, we anticipate preparing and submitting a 505(b)(2) NDA for our hydrocodone/acetaminophen product in the first half of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We continue to evaluate possible partnering of our Aversion development products with alternative strategic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Impede Technology, a proprietary mixture of inactive ingredients, is intended to prevent the extraction of pseudoephedrine, or PSE, from tablets and disrupt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Studies sponsored by us at an independent laboratory and confirmed by a law enforcement agency, demonstrated our Impede Technology prevents the extraction of PSE from tablets for conversion into methamphetamine using what we believe are the two most common extraction methods, each requiring extraction of PSE as an initial step. Laboratory tests conducted on our behalf by an independent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in multiple one-pot tests with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conducting research on Impede 2.0, our next generation Impede Technology, to further improve our Nexafed franchise. Studies sponsored by us at an independent laboratory using an optimized, high yield direct conversion test method that is designed to replicate the direct conversion, or one-pot, process commonly used by clandestine methamphetamine laboratories yielded no measurable amount of methamphetamine compared to an approximate 38% yield with our older Impede Technology. We have manufactured pilot scale quantities of Nexafed with Impede 2.0 for further meth-resistance testing and pharmacokinetic testing and, if successful, of which no assurance can be given, intend to incorporate Impede 2.0 into Nexafed for commercial introduction.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w:t>
      </w:r>
      <w:r>
        <w:rPr>
          <w:rFonts w:ascii="Arial" w:cs="Arial" w:eastAsia="Arial" w:hAnsi="Arial"/>
          <w:sz w:val="18"/>
          <w:szCs w:val="18"/>
          <w:color w:val="auto"/>
        </w:rPr>
        <w: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Nexafed product is an immediate-release pseudoephedrine HCl, tablet which utilizes our patent pending Impede Technology. PSE is a widely-used nasal decongestant available in many non-prescription and prescription cold, sinus and allergy products We have demonstrated that our Nexafed 30mg tablets is bioequivalent to Johnson &amp; Johnson’s Sudafed® 30mg Tablets when a single 2 tablets dose is administered. Commencing in 2006, the Combat Methamphetamine Epidemic Act, or CMEA, required all non-prescription PSE products to be held securely behind the pharmacy counter, has set monthly consumer purchase volume limits, and has necessitated consumer interaction with pharmacy personnel to purchase PSE-containing products. We intend to capitalize on this consumer-pharmacist interaction at the point of sale by soliciting distribution to pharmacies and educating and encouraging pharmacists to recommend Nexafed to their customers.</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launched Nexafed commercially in mid-December 2012 into the United States OTC market for cold and allergy products and have shipped Nexafed to several regional and national drug wholesalers for redistribution to pharmacies, including the three largest U.S. drug wholesalers: McKesson, Cardinal Health and AmerisourceBergen. In March 2013, we completed our first shipment of Nexafed directly to the warehouse of a regional drug chain who, we understand, would further stock all of their pharmacies with Nexafed</w:t>
      </w:r>
      <w:r>
        <w:rPr>
          <w:rFonts w:ascii="Arial" w:cs="Arial" w:eastAsia="Arial" w:hAnsi="Arial"/>
          <w:sz w:val="16"/>
          <w:szCs w:val="16"/>
          <w:b w:val="1"/>
          <w:bCs w:val="1"/>
          <w:color w:val="auto"/>
        </w:rPr>
        <w:t>.</w:t>
      </w:r>
      <w:r>
        <w:rPr>
          <w:rFonts w:ascii="Arial" w:cs="Arial" w:eastAsia="Arial" w:hAnsi="Arial"/>
          <w:sz w:val="16"/>
          <w:szCs w:val="16"/>
          <w:color w:val="auto"/>
        </w:rPr>
        <w:t xml:space="preserve"> We have also gained support from other pharmacy chain customers. Generally, these chain customers purchase their pseudoephedrine products through their pharmacy departments – as opposed to a centralized OTC purchasing operation. The support for Nexafed from these chain customers varies from providing Nexafed educational materials to their pharmacists and allowing each pharmacy to make their own purchasing decision, to the stocking of Nexafed as their only 30mg pseudoephedrine product. We estimate Nexafed is currently stocked in approximately 1,400 US pharmacies or about 2% of the 65,000 pharmacy outlets. About 2/3 of these pharmacies are consistent repeat customers with the top pharmacy average approximately 5 boxes per week. We continue to work to expand the wholesale and retail distribution network for Nexafed and intend to re-approach some chain customers already stocking Nexafed with programs designed to improve penetration in those chains.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We are using telemarketing, direct mail, and online and journal advertising to educate pharmacists about Nexafed and encourage pharmacists to recommend Nexafed to their customers and are currently readapting our advertising program to differentiate Nexafed from a potential meth-resistant competitive product that may be launching this summer. We may use consumer advertising in the future. We have shipped approximately $25 thousand and $58 thousand in Nexafed product during the quarter and six months ended June 30, 2013,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marketing our 30mg Nexafed product under FDA’s regulations applicable to OTC Monograph products. Nexafed tablets are offered in 24-count blister packaged cartons and priced comparable to other branded PSE 30mg tablets.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July 30, 2013 we had cash, cash equivalents and marketable securities of approximately $18.4 million. We estimate that our current cash reserves will be sufficient to fund operations through at least the next 12 months.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2013 we did not recognized any of the $58 thousand product sales derived from the shipment of Nexafed. Given the limited sales history of Nexafed, the Company currently cannot reliably estimate expected returns of the product at the time of shipment. Accordingly, the Company defers recognition of revenue on the product shipments of Nexafed until the right of return no longer exists or adequate history and information is available to estimate product returns. Our royalty revenue from Pfizer’s sale of Oxecta Tablets began in February 2013.</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fund our continued operations, we expect to rely on our current cash resources, additional payments that may be made under Pfizer Agreement and under future license agreements with other pharmaceutical company partners, of which there can be no assurance of obtaining, and revenues from our commercialization of our Nexafed Tablets. Our cash requirements for operating activities may increase in the future as we continue to conduct pre-clinical studies and clinical trials for our product candidates, maintain, defend, and expand the scope of our intellectual property, including the prosecution of the Paragraph IV Proceedings, hire additional personnel, commercialize our Nexafed Tablets, or invest in other areas.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Three Months Ended June 30,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rPr>
              <w:t>Change</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4"/>
          </w:tcPr>
          <w:p>
            <w:pPr>
              <w:jc w:val="right"/>
              <w:ind w:right="130"/>
              <w:spacing w:after="0"/>
              <w:rPr>
                <w:sz w:val="20"/>
                <w:szCs w:val="20"/>
                <w:color w:val="auto"/>
              </w:rPr>
            </w:pPr>
            <w:r>
              <w:rPr>
                <w:rFonts w:ascii="Arial" w:cs="Arial" w:eastAsia="Arial" w:hAnsi="Arial"/>
                <w:sz w:val="18"/>
                <w:szCs w:val="18"/>
                <w:color w:val="auto"/>
              </w:rPr>
              <w:t>$000’s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ind w:left="140"/>
              <w:spacing w:after="0"/>
              <w:rPr>
                <w:sz w:val="20"/>
                <w:szCs w:val="20"/>
                <w:color w:val="auto"/>
              </w:rPr>
            </w:pPr>
            <w:r>
              <w:rPr>
                <w:rFonts w:ascii="Arial" w:cs="Arial" w:eastAsia="Arial" w:hAnsi="Arial"/>
                <w:sz w:val="18"/>
                <w:szCs w:val="18"/>
                <w:color w:val="auto"/>
              </w:rPr>
              <w:t>$000’s</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Royalty revenue</w:t>
            </w: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auto"/>
            </w:tcBorders>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spacing w:after="0"/>
              <w:rPr>
                <w:sz w:val="19"/>
                <w:szCs w:val="19"/>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3,141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952</w:t>
            </w: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Non-operating income: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Investment income</w:t>
            </w:r>
          </w:p>
        </w:tc>
        <w:tc>
          <w:tcPr>
            <w:tcW w:w="2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Gain (loss) on sales of marketable securities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other income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5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launched Nexafed commercially in mid-December 2012. Given the limited sales history of Nexafed, the Company currently cannot reliably estimate expected returns of the product at the time of shipment. Accordingly, the Company has deferred recognition of revenue and the related cost of sales on product shipments of Nexafed since its launch until the right of return no longer exists or adequate history and information is available to estimate product returns. As of June 30, 2013, we had $61 thousand in deferred revenue on our balance sheet related to Nexafed shipments made since its commercial launch. We had no product sales for the three months ended June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our License, Development, and Commercialization Agreement dated October 30, 2007 with King Pharmaceuticals Research and Development, Inc., now a subsidiary of Pfizer Inc., we began to earn royalties on Oxecta net sales starting in February 2013. Pfizer will pay us a royalty at one of six rates ranging from 5% to 25% based on the level of annual net sales for Oxecta across all Pfizer Territories, with the highest applicable royalty rate applied to such annual sales. These royalties are based on net sales of Oxecta reported to us by Pfizer being paid to us within 45 days after the end of each calendar quarter. We recorded royalties of approximately $1 thousand for the quarter ended June 30, 2013 on net sales of approximately $20 thousand.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(“R&amp;D”) expense during the three months ended June 30, 2013 were primarily for our Aversion development expenses and for the three months ended 2012 were for product candidates utilizing either our Aversion or our Impede® Technologies, including costs of preclinical, clinical trials, clinical supplies and related formulation and design costs, salaries and other personnel related expenses, and facility costs. Included in each of the 2013 and 2012 results are non-cash share-based compensation expenses of $0.1 million. Excluding the share-based compensation expense, our R&amp;D expenses decreased approximately $0.1 million between reporting periods primarily from our Aversion development expenses on our hydrocodone/acetaminophen product candidate.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and marketing expenses during the three months ended June 30, 2013 and 2012 primarily consisted of advertising and marketing activities on Nexafed which was launched in December 2012. Selling and marketing expenses during the three months ended June 30, 2012 primarily consisted of market research studies on our Aversion and Impede® Technologies. Our Nexafed advertising and marketing activities will continue in 2013. Our general and administrative expenses primarily consisted of legal, audit and other professional services, corporate insurance, and payroll. Included in the 2013 and 2012 results are non-cash share-based compensation expenses of $0.2 million and $0.3 million, respectively. Excluding the share-based compensation expense our selling, general and administrative expenses increased approximately $1.2 million between reporting periods, primarily for the advertising and marketing activities on Nexafed and legal services on our paragraph IV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2013 and 2012, other non-operating income consisted principally of investment income derived from our cash reserves being invested in accordance with a Board of Director approved investment policy.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loss for the three months ended June 30, 2013 and 2012 includes no federal or state income tax benefit provisions due to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Six Months Ended June 30,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rPr>
              <w:t>Change</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4"/>
          </w:tcPr>
          <w:p>
            <w:pPr>
              <w:jc w:val="right"/>
              <w:ind w:right="130"/>
              <w:spacing w:after="0"/>
              <w:rPr>
                <w:sz w:val="20"/>
                <w:szCs w:val="20"/>
                <w:color w:val="auto"/>
              </w:rPr>
            </w:pPr>
            <w:r>
              <w:rPr>
                <w:rFonts w:ascii="Arial" w:cs="Arial" w:eastAsia="Arial" w:hAnsi="Arial"/>
                <w:sz w:val="18"/>
                <w:szCs w:val="18"/>
                <w:color w:val="auto"/>
              </w:rPr>
              <w:t>$000’s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ind w:left="140"/>
              <w:spacing w:after="0"/>
              <w:rPr>
                <w:sz w:val="20"/>
                <w:szCs w:val="20"/>
                <w:color w:val="auto"/>
              </w:rPr>
            </w:pPr>
            <w:r>
              <w:rPr>
                <w:rFonts w:ascii="Arial" w:cs="Arial" w:eastAsia="Arial" w:hAnsi="Arial"/>
                <w:sz w:val="18"/>
                <w:szCs w:val="18"/>
                <w:color w:val="auto"/>
              </w:rPr>
              <w:t>$000’s</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Percent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Royalty revenue</w:t>
            </w: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w:t>
            </w:r>
          </w:p>
        </w:tc>
        <w:tc>
          <w:tcPr>
            <w:tcW w:w="420" w:type="dxa"/>
            <w:vAlign w:val="bottom"/>
            <w:tcBorders>
              <w:top w:val="single" w:sz="8" w:color="auto"/>
            </w:tcBorders>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spacing w:after="0"/>
              <w:rPr>
                <w:sz w:val="19"/>
                <w:szCs w:val="19"/>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2,831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1,822</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7,389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4,533</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2,856</w:t>
            </w: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180"/>
              <w:spacing w:after="0"/>
              <w:rPr>
                <w:sz w:val="20"/>
                <w:szCs w:val="20"/>
                <w:color w:val="auto"/>
              </w:rPr>
            </w:pPr>
            <w:r>
              <w:rPr>
                <w:rFonts w:ascii="Arial" w:cs="Arial" w:eastAsia="Arial" w:hAnsi="Arial"/>
                <w:sz w:val="18"/>
                <w:szCs w:val="18"/>
                <w:color w:val="auto"/>
              </w:rPr>
              <w:t>Gain on sales of marketable securities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FFCC"/>
            </w:tcBorders>
          </w:tcPr>
          <w:p>
            <w:pPr>
              <w:spacing w:after="0"/>
              <w:rPr>
                <w:sz w:val="18"/>
                <w:szCs w:val="18"/>
                <w:color w:val="auto"/>
              </w:rPr>
            </w:pP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CFFCC"/>
            </w:tcBorders>
          </w:tcPr>
          <w:p>
            <w:pPr>
              <w:ind w:left="3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200" w:type="dxa"/>
            <w:vAlign w:val="bottom"/>
            <w:tcBorders>
              <w:bottom w:val="single" w:sz="8" w:color="CCFFCC"/>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320" w:type="dxa"/>
            <w:vAlign w:val="bottom"/>
            <w:tcBorders>
              <w:bottom w:val="single" w:sz="8" w:color="CC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launched Nexafed commercially in mid-December 2012. Given the limited sales history of Nexafed, the Company currently cannot reliably estimate expected returns of the product at the time of shipment. Accordingly, the Company has deferred recognition of revenue and the related cost of sales on product shipments of Nexafed since its launch until the right of return no longer exists or adequate history and information is available to estimate product returns. As of June 30, 2013, we had $61 thousand in deferred revenue on our balance sheet related to Nexafed shipments made since its commercial launch. We had no product sales for the six months ended June 30,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our License, Development, and Commercialization Agreement dated October 30, 2007 with King Pharmaceuticals Research and Development, Inc., now a subsidiary of Pfizer Inc., we began to earn royalties on Oxecta net sales starting in February 2013. Pfizer will pay us a royalty at one of six rates ranging from 5% to 25% based on the level of annual net sales for Oxecta across all Pfizer Territories, with the highest applicable royalty rate applied to such annual sales. These royalties are based on net sales of Oxecta reported to us by Pfizer being paid to us within 45 days after the end of each calendar quarter. We recorded royalties of approximately $5 thousand for the six months ended June 30, 2013 on net sales of approximately $100 thousand.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R&amp;D expense during the six months ended June 30, 2013 were primarily for our Aversion development expenses and for the six months ended 2012 were for product candidates utilizing either our Aversion or our Impede® Technologies, including costs of preclinical, clinical trials, clinical supplies and related formulation and design costs, salaries and other personnel related expenses, and facility costs. Included in each of the 2013 and 2012 results are non-cash share-based compensation expenses of $0.2 million. Excluding the share-based compensation expense, our R&amp;D expenses increased approximately $1.0 million between reporting periods primarily from our Aversion development expenses on our hydrocodone/acetaminophen product candidate.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during the six months ended June 30, 2013 and 2012 primarily consisted of advertising and marketing activities on Nexafed which was launched in December 2012. Selling and marketing expenses during the three months ended June 30, 2012 primarily consisted of market research studies on our Aversion and Impede® Technologies. Our Nexafed advertising and marketing activities will continue in 2013. Our G&amp;A expenses primarily consisted of legal, audit and other professional services, corporate insurance, and payroll. Included in the 2013 and 2012 results are non-cash share-based compensation expenses of $0.5 million and $0.7 million, respectively. Excluding the share-based compensation expense our selling, general and administrative expenses increased approximately $2.0 million between reporting periods, primarily for the advertising and marketing activities on Nexafed and legal services on our paragraph IV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2013 and 2012, other non-operating income consisted principally of investment income derived from our cash reserves being invested in accordance with a Board of Director approved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loss for the six months ended June 30, 2013 and 2012 includes no federal or state income tax benefit provisions due to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2013, the Company had cash, cash equivalents and marketable securities of $19.4 million compared to $27.4 million at December 31, 2012. The Company had working capital of $19.4 million at June 30, 2013 compared to $26.6 million at December 31, 2012. The decrease in our cash position is primarily due to the period’s net loss and the payment of employees’ withholding taxes approximating $0.7 million associated with their option exercises and RSU exchanges during such period, adjusted for the non-cash share-based compensation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July 30, 2013, the Company had cash, cash equivalents and marketable securities of approximately $18.4 million. We estimate that our current cash reserves will be sufficient to fund operations through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financing activities for the quarter ended June 30, 2013 that provided approximately $0.24 million in cash. During the quarter, we sold approximately 114 thousand shares of our common stock through a registered “at the market” offering program. See Note 10 to the Company’s consolidated financial statements contained in this Report for a discussion of the “at the market” offering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2012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2012 Annual Report are also applicable to 2013.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573" w:val="left"/>
        </w:tabs>
        <w:numPr>
          <w:ilvl w:val="0"/>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firstLine="8"/>
        <w:spacing w:after="0" w:line="308" w:lineRule="auto"/>
        <w:tabs>
          <w:tab w:leader="none" w:pos="435" w:val="left"/>
        </w:tabs>
        <w:numPr>
          <w:ilvl w:val="0"/>
          <w:numId w:val="10"/>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second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2013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4, “License, Development, and Commercialization Agreement – Paragraph IV ANDA Litigation”, and Note 13, “Commitments and Contingencies,” in Part I, Item 1,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required by this Item are listed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30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 1934.</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300"/>
              <w:spacing w:after="0"/>
              <w:rPr>
                <w:sz w:val="20"/>
                <w:szCs w:val="20"/>
                <w:color w:val="auto"/>
              </w:rPr>
            </w:pPr>
            <w:r>
              <w:rPr>
                <w:rFonts w:ascii="Arial" w:cs="Arial" w:eastAsia="Arial" w:hAnsi="Arial"/>
                <w:sz w:val="18"/>
                <w:szCs w:val="18"/>
                <w:color w:val="auto"/>
                <w:w w:val="94"/>
              </w:rPr>
              <w:t>Certification of Periodic Report by Chief Financial Officer pursuant to Rule 13a-14 and 15d-14 of the Securities Exchange Act of 1934.</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300"/>
              <w:spacing w:after="0"/>
              <w:rPr>
                <w:sz w:val="20"/>
                <w:szCs w:val="20"/>
                <w:color w:val="auto"/>
              </w:rPr>
            </w:pPr>
            <w:r>
              <w:rPr>
                <w:rFonts w:ascii="Arial" w:cs="Arial" w:eastAsia="Arial" w:hAnsi="Arial"/>
                <w:sz w:val="18"/>
                <w:szCs w:val="18"/>
                <w:color w:val="auto"/>
                <w:w w:val="92"/>
              </w:rPr>
              <w:t>Certification of Periodic Report by the Chief Executive Officer and Chief Financial Officer pursuant to 18 U.S.C. Section 1350, as adopted</w:t>
            </w:r>
          </w:p>
        </w:tc>
      </w:tr>
      <w:tr>
        <w:trPr>
          <w:trHeight w:val="230"/>
        </w:trPr>
        <w:tc>
          <w:tcPr>
            <w:tcW w:w="1000" w:type="dxa"/>
            <w:vAlign w:val="bottom"/>
          </w:tcPr>
          <w:p>
            <w:pPr>
              <w:spacing w:after="0"/>
              <w:rPr>
                <w:sz w:val="20"/>
                <w:szCs w:val="20"/>
                <w:color w:val="auto"/>
              </w:rPr>
            </w:pPr>
          </w:p>
        </w:tc>
        <w:tc>
          <w:tcPr>
            <w:tcW w:w="10420" w:type="dxa"/>
            <w:vAlign w:val="bottom"/>
          </w:tcPr>
          <w:p>
            <w:pPr>
              <w:ind w:left="3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648"/>
        </w:trPr>
        <w:tc>
          <w:tcPr>
            <w:tcW w:w="10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20"/>
        <w:spacing w:after="0"/>
        <w:tabs>
          <w:tab w:leader="none" w:pos="6040" w:val="left"/>
        </w:tabs>
        <w:rPr>
          <w:sz w:val="20"/>
          <w:szCs w:val="20"/>
          <w:color w:val="auto"/>
        </w:rPr>
      </w:pPr>
      <w:r>
        <w:rPr>
          <w:rFonts w:ascii="Arial" w:cs="Arial" w:eastAsia="Arial" w:hAnsi="Arial"/>
          <w:sz w:val="18"/>
          <w:szCs w:val="18"/>
          <w:color w:val="auto"/>
        </w:rPr>
        <w:t>July 30, 2013</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Robert B. Jones</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Robert B. Jones</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right"/>
        <w:ind w:right="3860"/>
        <w:spacing w:after="0"/>
        <w:rPr>
          <w:sz w:val="20"/>
          <w:szCs w:val="20"/>
          <w:color w:val="auto"/>
        </w:rPr>
      </w:pPr>
      <w:r>
        <w:rPr>
          <w:rFonts w:ascii="Arial" w:cs="Arial" w:eastAsia="Arial" w:hAnsi="Arial"/>
          <w:sz w:val="18"/>
          <w:szCs w:val="18"/>
          <w:u w:val="single" w:color="auto"/>
          <w:color w:val="auto"/>
        </w:rPr>
        <w:t>/s/ Peter A. Clemens</w:t>
      </w:r>
    </w:p>
    <w:p>
      <w:pPr>
        <w:spacing w:after="0" w:line="23" w:lineRule="exact"/>
        <w:rPr>
          <w:sz w:val="20"/>
          <w:szCs w:val="20"/>
          <w:color w:val="auto"/>
        </w:rPr>
      </w:pPr>
    </w:p>
    <w:p>
      <w:pPr>
        <w:jc w:val="right"/>
        <w:ind w:right="3880"/>
        <w:spacing w:after="0"/>
        <w:rPr>
          <w:sz w:val="20"/>
          <w:szCs w:val="20"/>
          <w:color w:val="auto"/>
        </w:rPr>
      </w:pPr>
      <w:r>
        <w:rPr>
          <w:rFonts w:ascii="Arial" w:cs="Arial" w:eastAsia="Arial" w:hAnsi="Arial"/>
          <w:sz w:val="18"/>
          <w:szCs w:val="18"/>
          <w:color w:val="auto"/>
        </w:rPr>
        <w:t>Peter A. Clemens</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4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2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296"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167"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1125"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60" w:hanging="4"/>
        <w:spacing w:after="0" w:line="277" w:lineRule="auto"/>
        <w:tabs>
          <w:tab w:leader="none" w:pos="1272"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ind w:left="660"/>
              <w:spacing w:after="0"/>
              <w:rPr>
                <w:sz w:val="20"/>
                <w:szCs w:val="20"/>
                <w:color w:val="auto"/>
              </w:rPr>
            </w:pPr>
            <w:r>
              <w:rPr>
                <w:rFonts w:ascii="Arial" w:cs="Arial" w:eastAsia="Arial" w:hAnsi="Arial"/>
                <w:sz w:val="18"/>
                <w:szCs w:val="18"/>
                <w:color w:val="auto"/>
              </w:rPr>
              <w:t>July 30, 2013</w:t>
            </w:r>
          </w:p>
        </w:tc>
        <w:tc>
          <w:tcPr>
            <w:tcW w:w="2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 Robert B. Jones</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B. Jones</w:t>
            </w:r>
          </w:p>
        </w:tc>
        <w:tc>
          <w:tcPr>
            <w:tcW w:w="428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36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rPr>
              <w:t>27</w:t>
            </w: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9" w:name="page30"/>
    <w:bookmarkEnd w:id="29"/>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1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2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34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1167"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11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60" w:hanging="4"/>
        <w:spacing w:after="0" w:line="277" w:lineRule="auto"/>
        <w:tabs>
          <w:tab w:leader="none" w:pos="12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ind w:left="660"/>
              <w:spacing w:after="0"/>
              <w:rPr>
                <w:sz w:val="20"/>
                <w:szCs w:val="20"/>
                <w:color w:val="auto"/>
              </w:rPr>
            </w:pPr>
            <w:r>
              <w:rPr>
                <w:rFonts w:ascii="Arial" w:cs="Arial" w:eastAsia="Arial" w:hAnsi="Arial"/>
                <w:sz w:val="18"/>
                <w:szCs w:val="18"/>
                <w:color w:val="auto"/>
              </w:rPr>
              <w:t>July 30, 2013</w:t>
            </w:r>
          </w:p>
        </w:tc>
        <w:tc>
          <w:tcPr>
            <w:tcW w:w="2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 Peter A. Clemens</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Peter A. Clemens</w:t>
            </w:r>
          </w:p>
        </w:tc>
        <w:tc>
          <w:tcPr>
            <w:tcW w:w="41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6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jc w:val="right"/>
              <w:ind w:right="1370"/>
              <w:spacing w:after="0"/>
              <w:rPr>
                <w:sz w:val="20"/>
                <w:szCs w:val="20"/>
                <w:color w:val="auto"/>
              </w:rPr>
            </w:pPr>
            <w:r>
              <w:rPr>
                <w:rFonts w:ascii="Arial" w:cs="Arial" w:eastAsia="Arial" w:hAnsi="Arial"/>
                <w:sz w:val="18"/>
                <w:szCs w:val="18"/>
                <w:color w:val="auto"/>
              </w:rPr>
              <w:t>28</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0" w:name="page31"/>
    <w:bookmarkEnd w:id="30"/>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ind w:left="260"/>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June 30, 2013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540" w:hanging="275"/>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40" w:hanging="275"/>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ind w:left="660"/>
              <w:spacing w:after="0"/>
              <w:rPr>
                <w:sz w:val="20"/>
                <w:szCs w:val="20"/>
                <w:color w:val="auto"/>
              </w:rPr>
            </w:pPr>
            <w:r>
              <w:rPr>
                <w:rFonts w:ascii="Arial" w:cs="Arial" w:eastAsia="Arial" w:hAnsi="Arial"/>
                <w:sz w:val="18"/>
                <w:szCs w:val="18"/>
                <w:color w:val="auto"/>
              </w:rPr>
              <w:t>July 30, 2013</w:t>
            </w:r>
          </w:p>
        </w:tc>
        <w:tc>
          <w:tcPr>
            <w:tcW w:w="2160" w:type="dxa"/>
            <w:vAlign w:val="bottom"/>
          </w:tcPr>
          <w:p>
            <w:pPr>
              <w:spacing w:after="0"/>
              <w:rPr>
                <w:sz w:val="17"/>
                <w:szCs w:val="17"/>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/s/ Robert B. Jones</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B. Jones</w:t>
            </w:r>
          </w:p>
        </w:tc>
        <w:tc>
          <w:tcPr>
            <w:tcW w:w="4280" w:type="dxa"/>
            <w:vAlign w:val="bottom"/>
            <w:gridSpan w:val="2"/>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392"/>
        </w:trPr>
        <w:tc>
          <w:tcPr>
            <w:tcW w:w="3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/s/ Peter A. Clemens</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Peter A. Clemens</w:t>
            </w:r>
          </w:p>
        </w:tc>
        <w:tc>
          <w:tcPr>
            <w:tcW w:w="41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6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þ"/>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2019-12-05T22:25:18Z</dcterms:created>
  <dcterms:modified xsi:type="dcterms:W3CDTF">2019-12-05T22:25:18Z</dcterms:modified>
</cp:coreProperties>
</file>