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9"/>
        </w:trPr>
        <w:tc>
          <w:tcPr>
            <w:tcW w:w="1300" w:type="dxa"/>
            <w:vAlign w:val="bottom"/>
          </w:tcPr>
          <w:p>
            <w:pPr>
              <w:spacing w:after="0"/>
              <w:rPr>
                <w:sz w:val="19"/>
                <w:szCs w:val="19"/>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37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OMB APPROVAL</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6240" w:type="dxa"/>
            <w:vAlign w:val="bottom"/>
            <w:tcBorders>
              <w:right w:val="single" w:sz="8" w:color="auto"/>
            </w:tcBorders>
            <w:vMerge w:val="continue"/>
          </w:tcPr>
          <w:p>
            <w:pPr>
              <w:spacing w:after="0"/>
              <w:rPr>
                <w:sz w:val="15"/>
                <w:szCs w:val="15"/>
                <w:color w:val="auto"/>
              </w:rPr>
            </w:pPr>
          </w:p>
        </w:tc>
        <w:tc>
          <w:tcPr>
            <w:tcW w:w="1960" w:type="dxa"/>
            <w:vAlign w:val="bottom"/>
          </w:tcPr>
          <w:p>
            <w:pPr>
              <w:ind w:left="40"/>
              <w:spacing w:after="0" w:line="174" w:lineRule="exact"/>
              <w:rPr>
                <w:sz w:val="20"/>
                <w:szCs w:val="20"/>
                <w:color w:val="auto"/>
              </w:rPr>
            </w:pPr>
            <w:r>
              <w:rPr>
                <w:rFonts w:ascii="Times New Roman" w:cs="Times New Roman" w:eastAsia="Times New Roman" w:hAnsi="Times New Roman"/>
                <w:sz w:val="18"/>
                <w:szCs w:val="18"/>
                <w:color w:val="auto"/>
              </w:rPr>
              <w:t>OMB Number:</w:t>
            </w:r>
          </w:p>
        </w:tc>
        <w:tc>
          <w:tcPr>
            <w:tcW w:w="176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color w:val="auto"/>
              </w:rPr>
              <w:t>3235-0058</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240" w:type="dxa"/>
            <w:vAlign w:val="bottom"/>
            <w:tcBorders>
              <w:right w:val="single" w:sz="8" w:color="auto"/>
            </w:tcBorders>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Expires:</w:t>
            </w:r>
          </w:p>
        </w:tc>
        <w:tc>
          <w:tcPr>
            <w:tcW w:w="1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2028</w:t>
            </w:r>
          </w:p>
        </w:tc>
        <w:tc>
          <w:tcPr>
            <w:tcW w:w="0" w:type="dxa"/>
            <w:vAlign w:val="bottom"/>
          </w:tcPr>
          <w:p>
            <w:pPr>
              <w:spacing w:after="0"/>
              <w:rPr>
                <w:sz w:val="1"/>
                <w:szCs w:val="1"/>
                <w:color w:val="auto"/>
              </w:rPr>
            </w:pPr>
          </w:p>
        </w:tc>
      </w:tr>
      <w:tr>
        <w:trPr>
          <w:trHeight w:val="233"/>
        </w:trPr>
        <w:tc>
          <w:tcPr>
            <w:tcW w:w="1300" w:type="dxa"/>
            <w:vAlign w:val="bottom"/>
          </w:tcPr>
          <w:p>
            <w:pPr>
              <w:spacing w:after="0"/>
              <w:rPr>
                <w:sz w:val="20"/>
                <w:szCs w:val="20"/>
                <w:color w:val="auto"/>
              </w:rPr>
            </w:pPr>
          </w:p>
        </w:tc>
        <w:tc>
          <w:tcPr>
            <w:tcW w:w="6240" w:type="dxa"/>
            <w:vAlign w:val="bottom"/>
            <w:tcBorders>
              <w:right w:val="single" w:sz="8" w:color="auto"/>
            </w:tcBorders>
          </w:tcPr>
          <w:p>
            <w:pPr>
              <w:jc w:val="center"/>
              <w:ind w:left="1845"/>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average burden</w:t>
            </w:r>
          </w:p>
        </w:tc>
        <w:tc>
          <w:tcPr>
            <w:tcW w:w="17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40" w:type="dxa"/>
            <w:vAlign w:val="bottom"/>
            <w:tcBorders>
              <w:right w:val="single" w:sz="8" w:color="auto"/>
            </w:tcBorders>
          </w:tcPr>
          <w:p>
            <w:pPr>
              <w:spacing w:after="0"/>
              <w:rPr>
                <w:sz w:val="20"/>
                <w:szCs w:val="20"/>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hours per response.</w:t>
            </w:r>
          </w:p>
        </w:tc>
        <w:tc>
          <w:tcPr>
            <w:tcW w:w="1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372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25"/>
                <w:szCs w:val="25"/>
                <w:b w:val="1"/>
                <w:bCs w:val="1"/>
                <w:color w:val="auto"/>
              </w:rPr>
              <w:t>FORM 12b-25</w:t>
            </w:r>
          </w:p>
        </w:tc>
        <w:tc>
          <w:tcPr>
            <w:tcW w:w="37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SEC FILE NUMBER</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6240" w:type="dxa"/>
            <w:vAlign w:val="bottom"/>
            <w:tcBorders>
              <w:right w:val="single" w:sz="8" w:color="auto"/>
            </w:tcBorders>
            <w:vMerge w:val="continue"/>
          </w:tcPr>
          <w:p>
            <w:pPr>
              <w:spacing w:after="0"/>
              <w:rPr>
                <w:sz w:val="14"/>
                <w:szCs w:val="14"/>
                <w:color w:val="auto"/>
              </w:rPr>
            </w:pPr>
          </w:p>
        </w:tc>
        <w:tc>
          <w:tcPr>
            <w:tcW w:w="3720" w:type="dxa"/>
            <w:vAlign w:val="bottom"/>
            <w:tcBorders>
              <w:right w:val="single" w:sz="8" w:color="auto"/>
            </w:tcBorders>
            <w:gridSpan w:val="2"/>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1-10113</w:t>
            </w: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6240" w:type="dxa"/>
            <w:vAlign w:val="bottom"/>
            <w:tcBorders>
              <w:right w:val="single" w:sz="8" w:color="auto"/>
            </w:tcBorders>
          </w:tcPr>
          <w:p>
            <w:pPr>
              <w:spacing w:after="0"/>
              <w:rPr>
                <w:sz w:val="6"/>
                <w:szCs w:val="6"/>
                <w:color w:val="auto"/>
              </w:rPr>
            </w:pPr>
          </w:p>
        </w:tc>
        <w:tc>
          <w:tcPr>
            <w:tcW w:w="372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6240" w:type="dxa"/>
            <w:vAlign w:val="bottom"/>
            <w:tcBorders>
              <w:right w:val="single" w:sz="8" w:color="auto"/>
            </w:tcBorders>
            <w:vMerge w:val="restart"/>
          </w:tcPr>
          <w:p>
            <w:pPr>
              <w:jc w:val="center"/>
              <w:ind w:left="1865"/>
              <w:spacing w:after="0"/>
              <w:rPr>
                <w:sz w:val="20"/>
                <w:szCs w:val="20"/>
                <w:color w:val="auto"/>
              </w:rPr>
            </w:pPr>
            <w:r>
              <w:rPr>
                <w:rFonts w:ascii="Times New Roman" w:cs="Times New Roman" w:eastAsia="Times New Roman" w:hAnsi="Times New Roman"/>
                <w:sz w:val="18"/>
                <w:szCs w:val="18"/>
                <w:b w:val="1"/>
                <w:bCs w:val="1"/>
                <w:color w:val="auto"/>
                <w:w w:val="98"/>
              </w:rPr>
              <w:t>NOTIFICATION OF LATE FILING</w:t>
            </w:r>
          </w:p>
        </w:tc>
        <w:tc>
          <w:tcPr>
            <w:tcW w:w="37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CUSIP NUMBER</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6240" w:type="dxa"/>
            <w:vAlign w:val="bottom"/>
            <w:tcBorders>
              <w:right w:val="single" w:sz="8" w:color="auto"/>
            </w:tcBorders>
            <w:vMerge w:val="continue"/>
          </w:tcPr>
          <w:p>
            <w:pPr>
              <w:spacing w:after="0"/>
              <w:rPr>
                <w:sz w:val="20"/>
                <w:szCs w:val="20"/>
                <w:color w:val="auto"/>
              </w:rPr>
            </w:pPr>
          </w:p>
        </w:tc>
        <w:tc>
          <w:tcPr>
            <w:tcW w:w="37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00509L 802</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(Check one):</w:t>
            </w:r>
          </w:p>
        </w:tc>
        <w:tc>
          <w:tcPr>
            <w:tcW w:w="8200" w:type="dxa"/>
            <w:vAlign w:val="bottom"/>
            <w:gridSpan w:val="2"/>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 ] Form 10-Q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w:t>
            </w:r>
          </w:p>
        </w:tc>
        <w:tc>
          <w:tcPr>
            <w:tcW w:w="1760" w:type="dxa"/>
            <w:vAlign w:val="bottom"/>
          </w:tcPr>
          <w:p>
            <w:pPr>
              <w:jc w:val="right"/>
              <w:ind w:right="4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c>
          <w:tcPr>
            <w:tcW w:w="0" w:type="dxa"/>
            <w:vAlign w:val="bottom"/>
          </w:tcPr>
          <w:p>
            <w:pPr>
              <w:spacing w:after="0"/>
              <w:rPr>
                <w:sz w:val="1"/>
                <w:szCs w:val="1"/>
                <w:color w:val="auto"/>
              </w:rPr>
            </w:pPr>
          </w:p>
        </w:tc>
      </w:tr>
      <w:tr>
        <w:trPr>
          <w:trHeight w:val="404"/>
        </w:trPr>
        <w:tc>
          <w:tcPr>
            <w:tcW w:w="1300" w:type="dxa"/>
            <w:vAlign w:val="bottom"/>
          </w:tcPr>
          <w:p>
            <w:pPr>
              <w:spacing w:after="0"/>
              <w:rPr>
                <w:sz w:val="24"/>
                <w:szCs w:val="24"/>
                <w:color w:val="auto"/>
              </w:rPr>
            </w:pPr>
          </w:p>
        </w:tc>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Period Ended: September 30, 2025</w:t>
            </w:r>
          </w:p>
        </w:tc>
        <w:tc>
          <w:tcPr>
            <w:tcW w:w="1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10-K</w:t>
      </w:r>
    </w:p>
    <w:p>
      <w:pPr>
        <w:spacing w:after="0" w:line="70"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20-F</w:t>
      </w:r>
    </w:p>
    <w:p>
      <w:pPr>
        <w:spacing w:after="0" w:line="9"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11-K</w:t>
      </w:r>
    </w:p>
    <w:p>
      <w:pPr>
        <w:spacing w:after="0" w:line="9" w:lineRule="exact"/>
        <w:rPr>
          <w:sz w:val="24"/>
          <w:szCs w:val="24"/>
          <w:color w:val="auto"/>
        </w:rPr>
      </w:pPr>
    </w:p>
    <w:p>
      <w:pPr>
        <w:ind w:left="1660"/>
        <w:spacing w:after="0" w:line="207" w:lineRule="exact"/>
        <w:tabs>
          <w:tab w:leader="none" w:pos="1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Transition Report on Form 10-Q</w:t>
      </w:r>
    </w:p>
    <w:p>
      <w:pPr>
        <w:spacing w:after="0" w:line="205"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For the Transition Period Ended: 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ACURA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616 N. NORTH COURT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Address of Principal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PALATINE, IL 60067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114300</wp:posOffset>
            </wp:positionV>
            <wp:extent cx="8255" cy="1028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028700"/>
                    </a:xfrm>
                    <a:prstGeom prst="rect">
                      <a:avLst/>
                    </a:prstGeom>
                    <a:noFill/>
                  </pic:spPr>
                </pic:pic>
              </a:graphicData>
            </a:graphic>
          </wp:anchor>
        </w:drawing>
      </w:r>
    </w:p>
    <w:p>
      <w:pPr>
        <w:spacing w:after="0" w:line="250" w:lineRule="exact"/>
        <w:rPr>
          <w:sz w:val="20"/>
          <w:szCs w:val="20"/>
          <w:color w:val="auto"/>
        </w:rPr>
      </w:pPr>
    </w:p>
    <w:p>
      <w:pPr>
        <w:ind w:left="800" w:hanging="333"/>
        <w:spacing w:after="0"/>
        <w:tabs>
          <w:tab w:leader="none" w:pos="8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17"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subject annual report, semi-annual report, transition report on Form 10-K, Form 20-F, Form 11-K, Form N-CEN or Form N-CSR, or portion</w:t>
      </w:r>
    </w:p>
    <w:p>
      <w:pPr>
        <w:spacing w:after="0" w:line="38" w:lineRule="exact"/>
        <w:rPr>
          <w:rFonts w:ascii="Times New Roman" w:cs="Times New Roman" w:eastAsia="Times New Roman" w:hAnsi="Times New Roman"/>
          <w:sz w:val="17"/>
          <w:szCs w:val="17"/>
          <w:color w:val="auto"/>
        </w:rPr>
      </w:pPr>
    </w:p>
    <w:p>
      <w:pPr>
        <w:ind w:left="800" w:right="80" w:hanging="742"/>
        <w:spacing w:after="0" w:line="187" w:lineRule="auto"/>
        <w:tabs>
          <w:tab w:leader="none" w:pos="800" w:val="left"/>
        </w:tabs>
        <w:numPr>
          <w:ilvl w:val="0"/>
          <w:numId w:val="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thereof, will be filed on or before the fifteenth calendar day following the prescribed due date; or the subject quarterly report or transition report on Form 10-Q or subject distribution report on Form 10-D,or portion thereof, will be filed on or before the fifth calendar day following the prescribed due date; and</w:t>
      </w:r>
    </w:p>
    <w:p>
      <w:pPr>
        <w:spacing w:after="0" w:line="92" w:lineRule="exact"/>
        <w:rPr>
          <w:rFonts w:ascii="Times New Roman" w:cs="Times New Roman" w:eastAsia="Times New Roman" w:hAnsi="Times New Roman"/>
          <w:sz w:val="36"/>
          <w:szCs w:val="36"/>
          <w:color w:val="auto"/>
          <w:vertAlign w:val="subscript"/>
        </w:rPr>
      </w:pPr>
    </w:p>
    <w:p>
      <w:pPr>
        <w:ind w:left="800" w:hanging="333"/>
        <w:spacing w:after="0"/>
        <w:tabs>
          <w:tab w:leader="none" w:pos="8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Registrant’s Quarterly Report on Form 10-Q for the quarterly period ended September 30, 2025 will not be filed within the prescribed time period because of the Company’s liquidity including the Company’s ability to meet day-to-day operation obligations. We continue to work on finding funding solutions and are dependent on the receipt of loans from Abuse Deterrent Pharma, LLC, which are used to meet day-to-day operation obligations, although no assurance can be made that the receipt of such loans will continue or be sufficient to meet long-term day-to-day operation obligations. We have not filed our Annual Reports for the year ended December 31, 2024, 2023 nor 2022. We have not filed our Quarterly Reports for any of the quarterly periods in our fiscal year of 2024, 2023 or 2022. We have not filed our Quarterly Report for the quarterly period ended June 30, 2025 nor March 31, 2025. We continue to delay our public accounting firm’s review services of each of our 2022, 2023, 2024 and 2025 quarterly results and their audit services of each of our 2022, 2023 and 2024 annual results, pending finding funding solutions and/or the receipt of loans from Abuse Deterrent Pharma, LLC; which may meet day-to-day operation obligations on a longer term basis. We cannot provide nor can any assurance can be given that the Company will be successful in filing any of the above mentioned reports or securing any funding solutions. The Company assumes no duty to update the status of the annual audits or quarterly reviews until the Annual Reports and the Quarterly Reports are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ectPr>
          <w:pgSz w:w="11900" w:h="16838" w:orient="portrait"/>
          <w:cols w:equalWidth="0" w:num="1">
            <w:col w:w="11240"/>
          </w:cols>
          <w:pgMar w:left="320" w:top="684" w:right="339" w:bottom="1440" w:gutter="0" w:footer="0" w:header="0"/>
        </w:sectPr>
      </w:pPr>
    </w:p>
    <w:p>
      <w:pPr>
        <w:spacing w:after="0" w:line="225"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847</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(Area Code)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705-7709</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(Telephone Number)</w:t>
      </w:r>
    </w:p>
    <w:p>
      <w:pPr>
        <w:spacing w:after="0" w:line="211" w:lineRule="exact"/>
        <w:rPr>
          <w:sz w:val="20"/>
          <w:szCs w:val="20"/>
          <w:color w:val="auto"/>
        </w:rPr>
      </w:pPr>
    </w:p>
    <w:p>
      <w:pPr>
        <w:sectPr>
          <w:pgSz w:w="11900" w:h="16838" w:orient="portrait"/>
          <w:cols w:equalWidth="0" w:num="3">
            <w:col w:w="6440" w:space="720"/>
            <w:col w:w="1320" w:space="720"/>
            <w:col w:w="2040"/>
          </w:cols>
          <w:pgMar w:left="320" w:top="684" w:right="339" w:bottom="1440" w:gutter="0" w:footer="0" w:header="0"/>
          <w:type w:val="continuous"/>
        </w:sectPr>
      </w:pPr>
    </w:p>
    <w:p>
      <w:pPr>
        <w:spacing w:after="0" w:line="7" w:lineRule="exact"/>
        <w:rPr>
          <w:sz w:val="20"/>
          <w:szCs w:val="20"/>
          <w:color w:val="auto"/>
        </w:rPr>
      </w:pPr>
    </w:p>
    <w:p>
      <w:pPr>
        <w:ind w:left="580" w:hanging="572"/>
        <w:spacing w:after="0" w:line="273" w:lineRule="auto"/>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w:t>
      </w:r>
    </w:p>
    <w:p>
      <w:pPr>
        <w:spacing w:after="0" w:line="1" w:lineRule="exact"/>
        <w:rPr>
          <w:sz w:val="20"/>
          <w:szCs w:val="20"/>
          <w:color w:val="auto"/>
        </w:rPr>
      </w:pPr>
    </w:p>
    <w:p>
      <w:pPr>
        <w:ind w:left="58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Times New Roman" w:cs="Times New Roman" w:eastAsia="Times New Roman" w:hAnsi="Times New Roman"/>
          <w:sz w:val="17"/>
          <w:szCs w:val="17"/>
          <w:color w:val="auto"/>
        </w:rPr>
        <w:t>[√] No</w:t>
      </w:r>
    </w:p>
    <w:p>
      <w:pPr>
        <w:spacing w:after="0" w:line="239" w:lineRule="exact"/>
        <w:rPr>
          <w:sz w:val="20"/>
          <w:szCs w:val="20"/>
          <w:color w:val="auto"/>
        </w:rPr>
      </w:pPr>
    </w:p>
    <w:p>
      <w:pPr>
        <w:jc w:val="both"/>
        <w:ind w:left="580" w:right="20"/>
        <w:spacing w:after="0" w:line="261" w:lineRule="auto"/>
        <w:rPr>
          <w:sz w:val="20"/>
          <w:szCs w:val="20"/>
          <w:color w:val="auto"/>
        </w:rPr>
      </w:pPr>
      <w:r>
        <w:rPr>
          <w:rFonts w:ascii="Times New Roman" w:cs="Times New Roman" w:eastAsia="Times New Roman" w:hAnsi="Times New Roman"/>
          <w:sz w:val="18"/>
          <w:szCs w:val="18"/>
          <w:color w:val="auto"/>
        </w:rPr>
        <w:t>The Quarterly Report for the quarterly period ended September 30, 2025 will not be filed on time. The Quarterly Report for the quarterly periods ending June 30, 2025 or March 31, 2025 have not been field. Each of the quarterly reports for the periods ending September 30, June 30, and March 31, in each of the years ended 2024, 2023, and 2022 have not been filed. The Annual Report for each of the annual periods ended December 31, 2024, 2023 and 2022 have not been filed.</w:t>
      </w:r>
    </w:p>
    <w:p>
      <w:pPr>
        <w:spacing w:after="0" w:line="180" w:lineRule="exact"/>
        <w:rPr>
          <w:sz w:val="20"/>
          <w:szCs w:val="20"/>
          <w:color w:val="auto"/>
        </w:rPr>
      </w:pPr>
    </w:p>
    <w:p>
      <w:pPr>
        <w:ind w:left="580" w:right="340" w:hanging="572"/>
        <w:spacing w:after="0" w:line="258"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 </w:t>
      </w:r>
    </w:p>
    <w:p>
      <w:pPr>
        <w:ind w:left="10000"/>
        <w:spacing w:after="0" w:line="207" w:lineRule="exact"/>
        <w:tabs>
          <w:tab w:leader="none" w:pos="10740" w:val="left"/>
        </w:tabs>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Times New Roman" w:cs="Times New Roman" w:eastAsia="Times New Roman" w:hAnsi="Times New Roman"/>
          <w:sz w:val="17"/>
          <w:szCs w:val="17"/>
          <w:color w:val="auto"/>
        </w:rPr>
        <w:t>[√] No</w:t>
      </w:r>
    </w:p>
    <w:p>
      <w:pPr>
        <w:spacing w:after="0" w:line="212" w:lineRule="exact"/>
        <w:rPr>
          <w:sz w:val="20"/>
          <w:szCs w:val="20"/>
          <w:color w:val="auto"/>
        </w:rPr>
      </w:pPr>
    </w:p>
    <w:p>
      <w:pPr>
        <w:ind w:left="580" w:right="34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2" w:name="page3"/>
    <w:bookmarkEnd w:id="2"/>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ACURA PHARMACEUTICALS INC</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5" w:lineRule="exact"/>
        <w:rPr>
          <w:sz w:val="20"/>
          <w:szCs w:val="20"/>
          <w:color w:val="auto"/>
        </w:rPr>
      </w:pPr>
    </w:p>
    <w:p>
      <w:pPr>
        <w:spacing w:after="0"/>
        <w:tabs>
          <w:tab w:leader="none" w:pos="560" w:val="left"/>
          <w:tab w:leader="none" w:pos="5840" w:val="left"/>
        </w:tabs>
        <w:rPr>
          <w:sz w:val="20"/>
          <w:szCs w:val="20"/>
          <w:color w:val="auto"/>
        </w:rPr>
      </w:pPr>
      <w:r>
        <w:rPr>
          <w:rFonts w:ascii="Times New Roman" w:cs="Times New Roman" w:eastAsia="Times New Roman" w:hAnsi="Times New Roman"/>
          <w:sz w:val="18"/>
          <w:szCs w:val="18"/>
          <w:color w:val="auto"/>
        </w:rPr>
        <w:t>Date:</w:t>
        <w:tab/>
        <w:t>NOVEMBER 21, 2025</w:t>
      </w:r>
      <w:r>
        <w:rPr>
          <w:sz w:val="20"/>
          <w:szCs w:val="20"/>
          <w:color w:val="auto"/>
        </w:rPr>
        <w:tab/>
      </w:r>
      <w:r>
        <w:rPr>
          <w:rFonts w:ascii="Times New Roman" w:cs="Times New Roman" w:eastAsia="Times New Roman" w:hAnsi="Times New Roman"/>
          <w:sz w:val="18"/>
          <w:szCs w:val="18"/>
          <w:color w:val="auto"/>
        </w:rPr>
        <w:t>By: /s/ ROBERT A. SEISER, SVP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lowerLetter"/>
      <w:start w:val="1"/>
    </w:lvl>
  </w:abstractNum>
  <w:abstractNum w:abstractNumId="1">
    <w:nsid w:val="2AE8944A"/>
    <w:multiLevelType w:val="hybridMultilevel"/>
    <w:lvl w:ilvl="0">
      <w:lvlJc w:val="left"/>
      <w:lvlText w:val="[√]"/>
      <w:numFmt w:val="bullet"/>
      <w:start w:val="1"/>
    </w:lvl>
    <w:lvl w:ilvl="1">
      <w:lvlJc w:val="left"/>
      <w:lvlText w:val="(%2)"/>
      <w:numFmt w:val="lowerLetter"/>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2025-11-21T12:49:41Z</dcterms:created>
  <dcterms:modified xsi:type="dcterms:W3CDTF">2025-11-21T12:49:41Z</dcterms:modified>
</cp:coreProperties>
</file>