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900" w:right="2120" w:hanging="3892"/>
        <w:spacing w:after="0" w:line="501" w:lineRule="auto"/>
        <w:tabs>
          <w:tab w:leader="none" w:pos="14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120" w:right="1820" w:hanging="4112"/>
        <w:spacing w:after="0" w:line="501" w:lineRule="auto"/>
        <w:tabs>
          <w:tab w:leader="none" w:pos="21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 to____</w:t>
      </w:r>
    </w:p>
    <w:p>
      <w:pPr>
        <w:ind w:left="4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1-10113</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Acura Pharmaceuticals,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56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5"/>
              </w:rPr>
              <w:t>New York</w:t>
            </w:r>
          </w:p>
        </w:tc>
        <w:tc>
          <w:tcPr>
            <w:tcW w:w="3720" w:type="dxa"/>
            <w:vAlign w:val="bottom"/>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30"/>
        </w:trPr>
        <w:tc>
          <w:tcPr>
            <w:tcW w:w="5640" w:type="dxa"/>
            <w:vAlign w:val="bottom"/>
          </w:tcPr>
          <w:p>
            <w:pPr>
              <w:jc w:val="center"/>
              <w:ind w:right="105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720" w:type="dxa"/>
            <w:vAlign w:val="bottom"/>
          </w:tcPr>
          <w:p>
            <w:pPr>
              <w:jc w:val="center"/>
              <w:ind w:left="10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8"/>
        </w:trPr>
        <w:tc>
          <w:tcPr>
            <w:tcW w:w="56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616 N. North Court, Suite 120, Palatine, Illinois</w:t>
            </w:r>
          </w:p>
        </w:tc>
        <w:tc>
          <w:tcPr>
            <w:tcW w:w="3720" w:type="dxa"/>
            <w:vAlign w:val="bottom"/>
          </w:tcPr>
          <w:p>
            <w:pPr>
              <w:jc w:val="right"/>
              <w:ind w:right="990"/>
              <w:spacing w:after="0"/>
              <w:rPr>
                <w:sz w:val="20"/>
                <w:szCs w:val="20"/>
                <w:color w:val="auto"/>
              </w:rPr>
            </w:pPr>
            <w:r>
              <w:rPr>
                <w:rFonts w:ascii="Arial" w:cs="Arial" w:eastAsia="Arial" w:hAnsi="Arial"/>
                <w:sz w:val="18"/>
                <w:szCs w:val="18"/>
                <w:b w:val="1"/>
                <w:bCs w:val="1"/>
                <w:color w:val="auto"/>
              </w:rPr>
              <w:t>60067</w:t>
            </w:r>
          </w:p>
        </w:tc>
      </w:tr>
      <w:tr>
        <w:trPr>
          <w:trHeight w:val="230"/>
        </w:trPr>
        <w:tc>
          <w:tcPr>
            <w:tcW w:w="5640" w:type="dxa"/>
            <w:vAlign w:val="bottom"/>
          </w:tcPr>
          <w:p>
            <w:pPr>
              <w:jc w:val="center"/>
              <w:ind w:right="10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720" w:type="dxa"/>
            <w:vAlign w:val="bottom"/>
          </w:tcPr>
          <w:p>
            <w:pPr>
              <w:jc w:val="center"/>
              <w:ind w:left="105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 xml:space="preserve">(Registrant's telephone number, including area code: </w:t>
      </w:r>
      <w:r>
        <w:rPr>
          <w:rFonts w:ascii="Arial" w:cs="Arial" w:eastAsia="Arial" w:hAnsi="Arial"/>
          <w:sz w:val="18"/>
          <w:szCs w:val="18"/>
          <w:b w:val="1"/>
          <w:bCs w:val="1"/>
          <w:color w:val="auto"/>
        </w:rPr>
        <w:t>(847) 705-7709</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o No þ</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charter) during the preceding 12 months (or for such shorter period that the registrant was required to submit such files): Yes þ No o</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8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p>
        </w:tc>
        <w:tc>
          <w:tcPr>
            <w:tcW w:w="3980" w:type="dxa"/>
            <w:vAlign w:val="bottom"/>
          </w:tcPr>
          <w:p>
            <w:pPr>
              <w:ind w:left="10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3000" w:type="dxa"/>
            <w:vAlign w:val="bottom"/>
            <w:vMerge w:val="restart"/>
          </w:tcPr>
          <w:p>
            <w:pPr>
              <w:ind w:left="820"/>
              <w:spacing w:after="0" w:line="207"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Emerging growth company</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0"/>
                <w:szCs w:val="20"/>
                <w:color w:val="auto"/>
              </w:rPr>
            </w:pPr>
            <w:r>
              <w:rPr>
                <w:rFonts w:ascii="Arial" w:cs="Arial" w:eastAsia="Arial" w:hAnsi="Arial"/>
                <w:sz w:val="18"/>
                <w:szCs w:val="18"/>
                <w:color w:val="auto"/>
              </w:rPr>
              <w:t>þ Non-accelerated filer</w:t>
            </w:r>
          </w:p>
        </w:tc>
        <w:tc>
          <w:tcPr>
            <w:tcW w:w="3980" w:type="dxa"/>
            <w:vAlign w:val="bottom"/>
          </w:tcPr>
          <w:p>
            <w:pPr>
              <w:ind w:left="1040"/>
              <w:spacing w:after="0"/>
              <w:rPr>
                <w:sz w:val="20"/>
                <w:szCs w:val="20"/>
                <w:color w:val="auto"/>
              </w:rPr>
            </w:pPr>
            <w:r>
              <w:rPr>
                <w:rFonts w:ascii="Arial" w:cs="Arial" w:eastAsia="Arial" w:hAnsi="Arial"/>
                <w:sz w:val="18"/>
                <w:szCs w:val="18"/>
                <w:color w:val="auto"/>
              </w:rPr>
              <w:t>þ Smaller reporting company</w:t>
            </w:r>
          </w:p>
        </w:tc>
        <w:tc>
          <w:tcPr>
            <w:tcW w:w="3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þ</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160" w:type="dxa"/>
            <w:vAlign w:val="bottom"/>
            <w:tcBorders>
              <w:top w:val="single" w:sz="8" w:color="auto"/>
              <w:left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87"/>
              </w:rPr>
              <w:t>Title of each class</w:t>
            </w:r>
          </w:p>
        </w:tc>
        <w:tc>
          <w:tcPr>
            <w:tcW w:w="640" w:type="dxa"/>
            <w:vAlign w:val="bottom"/>
            <w:tcBorders>
              <w:top w:val="single" w:sz="8" w:color="auto"/>
              <w:right w:val="single" w:sz="8" w:color="auto"/>
            </w:tcBorders>
          </w:tcPr>
          <w:p>
            <w:pPr>
              <w:spacing w:after="0"/>
              <w:rPr>
                <w:sz w:val="22"/>
                <w:szCs w:val="22"/>
                <w:color w:val="auto"/>
              </w:rPr>
            </w:pP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16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237"/>
        </w:trPr>
        <w:tc>
          <w:tcPr>
            <w:tcW w:w="3160" w:type="dxa"/>
            <w:vAlign w:val="bottom"/>
            <w:tcBorders>
              <w:left w:val="single" w:sz="8" w:color="auto"/>
            </w:tcBorders>
          </w:tcPr>
          <w:p>
            <w:pPr>
              <w:jc w:val="center"/>
              <w:ind w:left="550"/>
              <w:spacing w:after="0"/>
              <w:rPr>
                <w:sz w:val="20"/>
                <w:szCs w:val="20"/>
                <w:color w:val="auto"/>
              </w:rPr>
            </w:pPr>
            <w:r>
              <w:rPr>
                <w:rFonts w:ascii="Arial" w:cs="Arial" w:eastAsia="Arial" w:hAnsi="Arial"/>
                <w:sz w:val="18"/>
                <w:szCs w:val="18"/>
                <w:color w:val="auto"/>
                <w:w w:val="90"/>
              </w:rPr>
              <w:t>Common Stock, $0.01 par value</w:t>
            </w:r>
          </w:p>
        </w:tc>
        <w:tc>
          <w:tcPr>
            <w:tcW w:w="64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ACUR</w:t>
            </w: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OTC Pink</w:t>
            </w:r>
          </w:p>
        </w:tc>
      </w:tr>
      <w:tr>
        <w:trPr>
          <w:trHeight w:val="27"/>
        </w:trPr>
        <w:tc>
          <w:tcPr>
            <w:tcW w:w="3800" w:type="dxa"/>
            <w:vAlign w:val="bottom"/>
            <w:tcBorders>
              <w:left w:val="single" w:sz="8" w:color="auto"/>
              <w:bottom w:val="single" w:sz="8" w:color="auto"/>
              <w:right w:val="single" w:sz="8" w:color="auto"/>
            </w:tcBorders>
            <w:gridSpan w:val="2"/>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411"/>
        </w:trPr>
        <w:tc>
          <w:tcPr>
            <w:tcW w:w="11420" w:type="dxa"/>
            <w:vAlign w:val="bottom"/>
            <w:gridSpan w:val="4"/>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practical date:</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4400" w:type="dxa"/>
            <w:vAlign w:val="bottom"/>
            <w:gridSpan w:val="2"/>
          </w:tcPr>
          <w:p>
            <w:pPr>
              <w:ind w:left="80"/>
              <w:spacing w:after="0"/>
              <w:rPr>
                <w:sz w:val="20"/>
                <w:szCs w:val="20"/>
                <w:color w:val="auto"/>
              </w:rPr>
            </w:pPr>
            <w:r>
              <w:rPr>
                <w:rFonts w:ascii="Arial" w:cs="Arial" w:eastAsia="Arial" w:hAnsi="Arial"/>
                <w:sz w:val="18"/>
                <w:szCs w:val="18"/>
                <w:color w:val="auto"/>
                <w:w w:val="91"/>
              </w:rPr>
              <w:t>Shares outstanding as of September 27, 2019: 21,300,192</w:t>
            </w:r>
          </w:p>
        </w:tc>
        <w:tc>
          <w:tcPr>
            <w:tcW w:w="3860" w:type="dxa"/>
            <w:vAlign w:val="bottom"/>
          </w:tcPr>
          <w:p>
            <w:pPr>
              <w:spacing w:after="0"/>
              <w:rPr>
                <w:sz w:val="20"/>
                <w:szCs w:val="20"/>
                <w:color w:val="auto"/>
              </w:rPr>
            </w:pPr>
          </w:p>
        </w:tc>
      </w:tr>
      <w:tr>
        <w:trPr>
          <w:trHeight w:val="216"/>
        </w:trPr>
        <w:tc>
          <w:tcPr>
            <w:tcW w:w="3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r>
      <w:tr>
        <w:trPr>
          <w:trHeight w:val="28"/>
        </w:trPr>
        <w:tc>
          <w:tcPr>
            <w:tcW w:w="3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675"/>
        </w:trPr>
        <w:tc>
          <w:tcPr>
            <w:tcW w:w="3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MARCH 31,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2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Part 1. FINANCIAL INFORMATION</w:t>
            </w:r>
          </w:p>
        </w:tc>
        <w:tc>
          <w:tcPr>
            <w:tcW w:w="62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480" w:type="dxa"/>
            <w:vAlign w:val="bottom"/>
            <w:gridSpan w:val="14"/>
            <w:shd w:val="clear" w:color="auto" w:fill="CCEEFF"/>
          </w:tcPr>
          <w:p>
            <w:pPr>
              <w:ind w:left="2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940" w:type="dxa"/>
            <w:vAlign w:val="bottom"/>
            <w:gridSpan w:val="1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2019 and December 31, 2018</w:t>
              </w:r>
            </w:hyperlink>
          </w:p>
        </w:tc>
        <w:tc>
          <w:tcPr>
            <w:tcW w:w="760" w:type="dxa"/>
            <w:vAlign w:val="bottom"/>
            <w:tcBorders>
              <w:right w:val="single" w:sz="8" w:color="CCEEFF"/>
            </w:tcBorders>
            <w:gridSpan w:val="2"/>
            <w:shd w:val="clear" w:color="auto" w:fill="CCEEFF"/>
          </w:tcPr>
          <w:p>
            <w:pPr>
              <w:jc w:val="center"/>
              <w:ind w:left="490"/>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940" w:type="dxa"/>
            <w:vAlign w:val="bottom"/>
            <w:gridSpan w:val="1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months Ended March 31, 2019 and 2018</w:t>
              </w:r>
            </w:hyperlink>
          </w:p>
        </w:tc>
        <w:tc>
          <w:tcPr>
            <w:tcW w:w="760" w:type="dxa"/>
            <w:vAlign w:val="bottom"/>
            <w:tcBorders>
              <w:right w:val="single" w:sz="8" w:color="CCEEFF"/>
            </w:tcBorders>
            <w:gridSpan w:val="2"/>
            <w:shd w:val="clear" w:color="auto" w:fill="CCEEFF"/>
          </w:tcPr>
          <w:p>
            <w:pPr>
              <w:jc w:val="center"/>
              <w:ind w:left="490"/>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3</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940" w:type="dxa"/>
            <w:vAlign w:val="bottom"/>
            <w:gridSpan w:val="12"/>
            <w:shd w:val="clear" w:color="auto" w:fill="CCEEFF"/>
          </w:tcPr>
          <w:p>
            <w:pPr>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 of Changes in Accumulated Stockholders’ Deficit for the Three months Ended March 31, 2019</w:t>
              </w:r>
            </w:hyperlink>
          </w:p>
        </w:tc>
        <w:tc>
          <w:tcPr>
            <w:tcW w:w="760" w:type="dxa"/>
            <w:vAlign w:val="bottom"/>
            <w:tcBorders>
              <w:right w:val="single" w:sz="8" w:color="CCEEFF"/>
            </w:tcBorders>
            <w:gridSpan w:val="2"/>
            <w:shd w:val="clear" w:color="auto" w:fill="CCEEFF"/>
          </w:tcPr>
          <w:p>
            <w:pPr>
              <w:jc w:val="center"/>
              <w:ind w:left="490"/>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4</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940" w:type="dxa"/>
            <w:vAlign w:val="bottom"/>
            <w:gridSpan w:val="1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Three months Ended March 31, 2019 and 2018</w:t>
              </w:r>
            </w:hyperlink>
          </w:p>
        </w:tc>
        <w:tc>
          <w:tcPr>
            <w:tcW w:w="760" w:type="dxa"/>
            <w:vAlign w:val="bottom"/>
            <w:tcBorders>
              <w:right w:val="single" w:sz="8" w:color="CCEEFF"/>
            </w:tcBorders>
            <w:gridSpan w:val="2"/>
            <w:shd w:val="clear" w:color="auto" w:fill="CCEEFF"/>
          </w:tcPr>
          <w:p>
            <w:pPr>
              <w:jc w:val="center"/>
              <w:ind w:left="490"/>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5</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940" w:type="dxa"/>
            <w:vAlign w:val="bottom"/>
            <w:gridSpan w:val="12"/>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760" w:type="dxa"/>
            <w:vAlign w:val="bottom"/>
            <w:tcBorders>
              <w:right w:val="single" w:sz="8" w:color="CCEEFF"/>
            </w:tcBorders>
            <w:gridSpan w:val="2"/>
            <w:shd w:val="clear" w:color="auto" w:fill="CCEEFF"/>
          </w:tcPr>
          <w:p>
            <w:pPr>
              <w:jc w:val="center"/>
              <w:ind w:left="490"/>
              <w:spacing w:after="0" w:line="17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7</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940" w:type="dxa"/>
            <w:vAlign w:val="bottom"/>
            <w:gridSpan w:val="12"/>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760" w:type="dxa"/>
            <w:vAlign w:val="bottom"/>
            <w:tcBorders>
              <w:right w:val="single" w:sz="8" w:color="CCEEFF"/>
            </w:tcBorders>
            <w:gridSpan w:val="2"/>
            <w:shd w:val="clear" w:color="auto" w:fill="CCEEFF"/>
          </w:tcPr>
          <w:p>
            <w:pPr>
              <w:jc w:val="center"/>
              <w:ind w:left="49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21</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4.</w:t>
              </w:r>
            </w:hyperlink>
          </w:p>
        </w:tc>
        <w:tc>
          <w:tcPr>
            <w:tcW w:w="24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80" w:type="dxa"/>
            <w:vAlign w:val="bottom"/>
            <w:gridSpan w:val="4"/>
            <w:shd w:val="clear" w:color="auto" w:fill="CCEEFF"/>
          </w:tcPr>
          <w:p>
            <w:pPr>
              <w:spacing w:after="0" w:line="17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Controls and Procedures</w:t>
              </w:r>
            </w:hyperlink>
          </w:p>
        </w:tc>
        <w:tc>
          <w:tcPr>
            <w:tcW w:w="7160" w:type="dxa"/>
            <w:vAlign w:val="bottom"/>
            <w:gridSpan w:val="8"/>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center"/>
              <w:ind w:left="490"/>
              <w:spacing w:after="0" w:line="17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20" w:type="dxa"/>
            <w:vAlign w:val="bottom"/>
            <w:gridSpan w:val="17"/>
          </w:tcPr>
          <w:p>
            <w:pPr>
              <w:spacing w:after="0" w:line="17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OTHER INFORMATION</w:t>
              </w:r>
            </w:hyperlink>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3"/>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1.</w:t>
              </w:r>
            </w:hyperlink>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940" w:type="dxa"/>
            <w:vAlign w:val="bottom"/>
            <w:gridSpan w:val="12"/>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760" w:type="dxa"/>
            <w:vAlign w:val="bottom"/>
            <w:gridSpan w:val="2"/>
          </w:tcPr>
          <w:p>
            <w:pPr>
              <w:jc w:val="center"/>
              <w:ind w:left="490"/>
              <w:spacing w:after="0" w:line="17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3"/>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1A.</w:t>
              </w:r>
            </w:hyperlink>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940" w:type="dxa"/>
            <w:vAlign w:val="bottom"/>
            <w:gridSpan w:val="12"/>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760" w:type="dxa"/>
            <w:vAlign w:val="bottom"/>
            <w:gridSpan w:val="2"/>
          </w:tcPr>
          <w:p>
            <w:pPr>
              <w:jc w:val="center"/>
              <w:ind w:left="490"/>
              <w:spacing w:after="0" w:line="17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3"/>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6.</w:t>
              </w:r>
            </w:hyperlink>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940" w:type="dxa"/>
            <w:vAlign w:val="bottom"/>
            <w:gridSpan w:val="12"/>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760" w:type="dxa"/>
            <w:vAlign w:val="bottom"/>
            <w:gridSpan w:val="2"/>
          </w:tcPr>
          <w:p>
            <w:pPr>
              <w:jc w:val="center"/>
              <w:ind w:left="490"/>
              <w:spacing w:after="0" w:line="17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42</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3"/>
          </w:tcPr>
          <w:p>
            <w:pPr>
              <w:spacing w:after="0" w:line="176" w:lineRule="exact"/>
              <w:rPr>
                <w:rFonts w:ascii="Arial" w:cs="Arial" w:eastAsia="Arial" w:hAnsi="Arial"/>
                <w:sz w:val="18"/>
                <w:szCs w:val="18"/>
                <w:color w:val="0000EE"/>
                <w:w w:val="83"/>
              </w:rPr>
            </w:pPr>
            <w:hyperlink w:anchor="page44">
              <w:r>
                <w:rPr>
                  <w:rFonts w:ascii="Arial" w:cs="Arial" w:eastAsia="Arial" w:hAnsi="Arial"/>
                  <w:sz w:val="18"/>
                  <w:szCs w:val="18"/>
                  <w:color w:val="0000EE"/>
                  <w:w w:val="83"/>
                </w:rPr>
                <w:t>Signatures</w:t>
              </w:r>
            </w:hyperlink>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tcPr>
          <w:p>
            <w:pPr>
              <w:jc w:val="center"/>
              <w:ind w:left="490"/>
              <w:spacing w:after="0" w:line="17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43</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Unless otherwise indicated or the context otherwise requires, references to the “Company”, “we”, “us” and “our” refer to Acura Pharmaceuticals Inc. and its subsidiary. The Acura logo is our trademark and Acura Pharmaceuticals is our registered trademark. All other trade names, trademarks and service marks appearing in this Quarterly Report on Form 10-Q are the property of their respective owners. We have assumed that the reader understands that all such terms are source-indicating. Accordingly, such terms, when first mentioned in this Quarterly Report on Form 10-Q, appear with the trade name, trademark or service mark notice and then throughout the remainder of this Quarterly Report on Form 10-Q without the trade name, trademark or service mark notices for convenience only and should not be construed as being used in a descriptive or generic sense.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20" w:type="dxa"/>
            <w:vAlign w:val="bottom"/>
          </w:tcPr>
          <w:p>
            <w:pPr>
              <w:jc w:val="center"/>
              <w:ind w:left="2870"/>
              <w:spacing w:after="0"/>
              <w:rPr>
                <w:sz w:val="20"/>
                <w:szCs w:val="20"/>
                <w:color w:val="auto"/>
              </w:rPr>
            </w:pPr>
            <w:r>
              <w:rPr>
                <w:rFonts w:ascii="Arial" w:cs="Arial" w:eastAsia="Arial" w:hAnsi="Arial"/>
                <w:sz w:val="18"/>
                <w:szCs w:val="18"/>
                <w:b w:val="1"/>
                <w:bCs w:val="1"/>
                <w:color w:val="auto"/>
              </w:rPr>
              <w:t>ACURA PHARMACEUTICALS, INC.</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jc w:val="center"/>
              <w:ind w:left="289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tcPr>
          <w:p>
            <w:pPr>
              <w:jc w:val="center"/>
              <w:ind w:left="2890"/>
              <w:spacing w:after="0"/>
              <w:rPr>
                <w:sz w:val="20"/>
                <w:szCs w:val="20"/>
                <w:color w:val="auto"/>
              </w:rPr>
            </w:pPr>
            <w:r>
              <w:rPr>
                <w:rFonts w:ascii="Arial" w:cs="Arial" w:eastAsia="Arial" w:hAnsi="Arial"/>
                <w:sz w:val="18"/>
                <w:szCs w:val="18"/>
                <w:b w:val="1"/>
                <w:bCs w:val="1"/>
                <w:color w:val="auto"/>
                <w:w w:val="89"/>
              </w:rPr>
              <w:t>(Unaudited; in thousands except par value)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March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Cash</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receivable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receivable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Income tax receivable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Intangible asset, net of accumulated amortization of $1,034 and $983 (Note 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Accrued expenses (Note 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 to related party (Note 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returns liability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Debt to related party, net of discounts (Note 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4,647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to related party, net of discounts (Note 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Accrued interest to related party (Note 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Common stock - $0.01 par value per share; 100,000 shares authorized, 21,300 and 21,034 shares issued and</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at March 31, 2019 and December 31, 2018, respectively</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380,436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380,395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stockholders’ deficit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deficit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420" w:type="dxa"/>
            <w:vAlign w:val="bottom"/>
          </w:tcPr>
          <w:p>
            <w:pPr>
              <w:jc w:val="center"/>
              <w:ind w:left="2890"/>
              <w:spacing w:after="0"/>
              <w:rPr>
                <w:sz w:val="20"/>
                <w:szCs w:val="20"/>
                <w:color w:val="auto"/>
              </w:rPr>
            </w:pPr>
            <w:r>
              <w:rPr>
                <w:rFonts w:ascii="Arial" w:cs="Arial" w:eastAsia="Arial" w:hAnsi="Arial"/>
                <w:sz w:val="18"/>
                <w:szCs w:val="18"/>
                <w:color w:val="auto"/>
                <w:w w:val="89"/>
              </w:rPr>
              <w:t>See accompanying notes to unaudited consolidated financial statements.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420" w:type="dxa"/>
            <w:vAlign w:val="bottom"/>
            <w:tcBorders>
              <w:bottom w:val="single" w:sz="8" w:color="auto"/>
            </w:tcBorders>
          </w:tcPr>
          <w:p>
            <w:pPr>
              <w:jc w:val="center"/>
              <w:ind w:left="2870"/>
              <w:spacing w:after="0"/>
              <w:rPr>
                <w:sz w:val="20"/>
                <w:szCs w:val="20"/>
                <w:color w:val="auto"/>
              </w:rPr>
            </w:pPr>
            <w:r>
              <w:rPr>
                <w:rFonts w:ascii="Arial" w:cs="Arial" w:eastAsia="Arial" w:hAnsi="Arial"/>
                <w:sz w:val="18"/>
                <w:szCs w:val="18"/>
                <w:color w:val="auto"/>
                <w:w w:val="99"/>
              </w:rPr>
              <w:t>2</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Three months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7"/>
          </w:tcPr>
          <w:p>
            <w:pPr>
              <w:jc w:val="right"/>
              <w:ind w:right="840"/>
              <w:spacing w:after="0"/>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2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Expenses:</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437</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2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Interest expense, net (Note 8)</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Basic</w:t>
            </w:r>
          </w:p>
        </w:tc>
        <w:tc>
          <w:tcPr>
            <w:tcW w:w="2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28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2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21,493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Diluted</w:t>
            </w:r>
          </w:p>
        </w:tc>
        <w:tc>
          <w:tcPr>
            <w:tcW w:w="2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21,034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ACCUMULATED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4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8"/>
                <w:szCs w:val="18"/>
                <w:color w:val="auto"/>
              </w:rPr>
              <w:t>Common Stock</w:t>
            </w:r>
          </w:p>
        </w:tc>
        <w:tc>
          <w:tcPr>
            <w:tcW w:w="3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Additional</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260"/>
              <w:spacing w:after="0" w:line="195" w:lineRule="exact"/>
              <w:rPr>
                <w:sz w:val="20"/>
                <w:szCs w:val="20"/>
                <w:color w:val="auto"/>
              </w:rPr>
            </w:pPr>
            <w:r>
              <w:rPr>
                <w:rFonts w:ascii="Arial" w:cs="Arial" w:eastAsia="Arial" w:hAnsi="Arial"/>
                <w:sz w:val="18"/>
                <w:szCs w:val="18"/>
                <w:color w:val="auto"/>
              </w:rPr>
              <w:t>Number</w:t>
            </w:r>
          </w:p>
        </w:tc>
        <w:tc>
          <w:tcPr>
            <w:tcW w:w="940" w:type="dxa"/>
            <w:vAlign w:val="bottom"/>
          </w:tcPr>
          <w:p>
            <w:pPr>
              <w:jc w:val="right"/>
              <w:ind w:right="55"/>
              <w:spacing w:after="0" w:line="195" w:lineRule="exact"/>
              <w:rPr>
                <w:sz w:val="20"/>
                <w:szCs w:val="20"/>
                <w:color w:val="auto"/>
              </w:rPr>
            </w:pPr>
            <w:r>
              <w:rPr>
                <w:rFonts w:ascii="Arial" w:cs="Arial" w:eastAsia="Arial" w:hAnsi="Arial"/>
                <w:sz w:val="18"/>
                <w:szCs w:val="18"/>
                <w:color w:val="auto"/>
              </w:rPr>
              <w:t>Par</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200"/>
              <w:spacing w:after="0" w:line="195" w:lineRule="exact"/>
              <w:rPr>
                <w:sz w:val="20"/>
                <w:szCs w:val="20"/>
                <w:color w:val="auto"/>
              </w:rPr>
            </w:pPr>
            <w:r>
              <w:rPr>
                <w:rFonts w:ascii="Arial" w:cs="Arial" w:eastAsia="Arial" w:hAnsi="Arial"/>
                <w:sz w:val="18"/>
                <w:szCs w:val="18"/>
                <w:color w:val="auto"/>
              </w:rPr>
              <w:t>Paid-in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line="195" w:lineRule="exact"/>
              <w:rPr>
                <w:sz w:val="20"/>
                <w:szCs w:val="20"/>
                <w:color w:val="auto"/>
              </w:rPr>
            </w:pPr>
            <w:r>
              <w:rPr>
                <w:rFonts w:ascii="Arial" w:cs="Arial" w:eastAsia="Arial" w:hAnsi="Arial"/>
                <w:sz w:val="18"/>
                <w:szCs w:val="18"/>
                <w:color w:val="auto"/>
                <w:w w:val="94"/>
              </w:rPr>
              <w:t>Accumulated</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color w:val="auto"/>
              </w:rPr>
              <w:t>of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Value</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380,395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(384,222)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Non-cash share-based compensation</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distribution of common stock pursuant to restricted</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unit award plan</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266</w:t>
            </w:r>
          </w:p>
        </w:tc>
        <w:tc>
          <w:tcPr>
            <w:tcW w:w="9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21,300</w:t>
            </w:r>
          </w:p>
        </w:tc>
        <w:tc>
          <w:tcPr>
            <w:tcW w:w="2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213</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(385,010)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40" w:type="dxa"/>
            <w:vAlign w:val="bottom"/>
            <w:gridSpan w:val="7"/>
          </w:tcPr>
          <w:p>
            <w:pPr>
              <w:jc w:val="right"/>
              <w:ind w:right="6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3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(788)</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Non-cash share-based compensation</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500"/>
              <w:spacing w:after="0"/>
              <w:rPr>
                <w:sz w:val="20"/>
                <w:szCs w:val="20"/>
                <w:color w:val="auto"/>
              </w:rPr>
            </w:pPr>
            <w:r>
              <w:rPr>
                <w:rFonts w:ascii="Arial" w:cs="Arial" w:eastAsia="Arial" w:hAnsi="Arial"/>
                <w:sz w:val="18"/>
                <w:szCs w:val="18"/>
                <w:color w:val="auto"/>
              </w:rPr>
              <w:t>Capitalized debt discount</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debt discount and deferred debt issue costs</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Amortization of intangible asset</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assets and liabilities:</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20"/>
              <w:spacing w:after="0"/>
              <w:rPr>
                <w:sz w:val="20"/>
                <w:szCs w:val="20"/>
                <w:color w:val="auto"/>
              </w:rPr>
            </w:pPr>
            <w:r>
              <w:rPr>
                <w:rFonts w:ascii="Arial" w:cs="Arial" w:eastAsia="Arial" w:hAnsi="Arial"/>
                <w:sz w:val="18"/>
                <w:szCs w:val="18"/>
                <w:color w:val="auto"/>
              </w:rPr>
              <w:t>Royalty receivable</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Prepaid expenses and other current assets</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20"/>
              <w:spacing w:after="0"/>
              <w:rPr>
                <w:sz w:val="20"/>
                <w:szCs w:val="20"/>
                <w:color w:val="auto"/>
              </w:rPr>
            </w:pPr>
            <w:r>
              <w:rPr>
                <w:rFonts w:ascii="Arial" w:cs="Arial" w:eastAsia="Arial" w:hAnsi="Arial"/>
                <w:sz w:val="18"/>
                <w:szCs w:val="18"/>
                <w:color w:val="auto"/>
              </w:rPr>
              <w:t>Accounts payable</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Accrued expenses</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20"/>
              <w:spacing w:after="0"/>
              <w:rPr>
                <w:sz w:val="20"/>
                <w:szCs w:val="20"/>
                <w:color w:val="auto"/>
              </w:rPr>
            </w:pPr>
            <w:r>
              <w:rPr>
                <w:rFonts w:ascii="Arial" w:cs="Arial" w:eastAsia="Arial" w:hAnsi="Arial"/>
                <w:sz w:val="18"/>
                <w:szCs w:val="18"/>
                <w:color w:val="auto"/>
              </w:rPr>
              <w:t>Accrued interest on loan</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Accrued interest on related party loans</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620"/>
              <w:spacing w:after="0"/>
              <w:rPr>
                <w:sz w:val="20"/>
                <w:szCs w:val="20"/>
                <w:color w:val="auto"/>
              </w:rPr>
            </w:pPr>
            <w:r>
              <w:rPr>
                <w:rFonts w:ascii="Arial" w:cs="Arial" w:eastAsia="Arial" w:hAnsi="Arial"/>
                <w:sz w:val="18"/>
                <w:szCs w:val="18"/>
                <w:color w:val="auto"/>
              </w:rPr>
              <w:t>Other current liabilities</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Net used in operating activities</w:t>
            </w:r>
          </w:p>
        </w:tc>
        <w:tc>
          <w:tcPr>
            <w:tcW w:w="1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distribution of restricted stock units</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500"/>
              <w:spacing w:after="0"/>
              <w:rPr>
                <w:sz w:val="20"/>
                <w:szCs w:val="20"/>
                <w:color w:val="auto"/>
              </w:rPr>
            </w:pPr>
            <w:r>
              <w:rPr>
                <w:rFonts w:ascii="Arial" w:cs="Arial" w:eastAsia="Arial" w:hAnsi="Arial"/>
                <w:sz w:val="18"/>
                <w:szCs w:val="18"/>
                <w:color w:val="auto"/>
              </w:rPr>
              <w:t>Proceeds from related party loans</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Principal payments on loan</w:t>
            </w:r>
          </w:p>
        </w:tc>
        <w:tc>
          <w:tcPr>
            <w:tcW w:w="1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Net cash provided by (used in) financing activities</w:t>
            </w:r>
          </w:p>
        </w:tc>
        <w:tc>
          <w:tcPr>
            <w:tcW w:w="15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Cash interest payments on loan</w:t>
            </w:r>
          </w:p>
        </w:tc>
        <w:tc>
          <w:tcPr>
            <w:tcW w:w="23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balance sheet that sum to the total of the same such amounts shown in the consolidated statements of cash flows:</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March 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March 31,</w:t>
            </w:r>
          </w:p>
        </w:tc>
      </w:tr>
      <w:tr>
        <w:trPr>
          <w:trHeight w:val="230"/>
        </w:trPr>
        <w:tc>
          <w:tcPr>
            <w:tcW w:w="6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20"/>
                <w:szCs w:val="20"/>
                <w:color w:val="auto"/>
              </w:rPr>
            </w:pPr>
          </w:p>
        </w:tc>
      </w:tr>
      <w:tr>
        <w:trPr>
          <w:trHeight w:val="237"/>
        </w:trPr>
        <w:tc>
          <w:tcPr>
            <w:tcW w:w="6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gridSpan w:val="6"/>
          </w:tcPr>
          <w:p>
            <w:pPr>
              <w:ind w:left="660"/>
              <w:spacing w:after="0"/>
              <w:rPr>
                <w:sz w:val="20"/>
                <w:szCs w:val="20"/>
                <w:color w:val="auto"/>
              </w:rPr>
            </w:pPr>
            <w:r>
              <w:rPr>
                <w:rFonts w:ascii="Arial" w:cs="Arial" w:eastAsia="Arial" w:hAnsi="Arial"/>
                <w:sz w:val="18"/>
                <w:szCs w:val="18"/>
                <w:color w:val="auto"/>
              </w:rPr>
              <w:t>(in thousands)</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Cash equivalents</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10"/>
        </w:trPr>
        <w:tc>
          <w:tcPr>
            <w:tcW w:w="6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w w:val="89"/>
              </w:rPr>
              <w:t>Total cash and cash equivalents shown in the consolidated statements of cash flows</w:t>
            </w:r>
          </w:p>
        </w:tc>
        <w:tc>
          <w:tcPr>
            <w:tcW w:w="960" w:type="dxa"/>
            <w:vAlign w:val="bottom"/>
            <w:gridSpan w:val="2"/>
          </w:tcPr>
          <w:p>
            <w:pPr>
              <w:jc w:val="right"/>
              <w:ind w:right="7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95</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774</w:t>
            </w:r>
          </w:p>
        </w:tc>
        <w:tc>
          <w:tcPr>
            <w:tcW w:w="6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ACURA PHARMACEUTICALS, INC. NOTES TO UNAUDITED CONSOLIDATED FINANCIAL STATEMENTS MARCH 31, 2019 AND MARCH 31,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OPERATIONS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Acura Pharmaceuticals, Inc., a New York corporation, and its subsidiary (the “Company”, “Acura”, “We”, “Us” or “Our”) is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intended to minimize the risks and side effects associated with overdose by retarding the release of active drug ingredients when too many tablets are accidently or purposefully ingested. Our Aversion® Technology is intended to address methods of product tampering associated with opioid abuse by incorporating gelling ingredients and irritants into tablets to discourage abuse by snorting and provide barriers to abuse by injection. Our Impede® Technology is directed at minimizing the extraction and conversion of pseudoephedrine tablets into methamphetamine.</w:t>
      </w:r>
    </w:p>
    <w:p>
      <w:pPr>
        <w:spacing w:after="0" w:line="178" w:lineRule="exact"/>
        <w:rPr>
          <w:sz w:val="20"/>
          <w:szCs w:val="20"/>
          <w:color w:val="auto"/>
        </w:rPr>
      </w:pPr>
    </w:p>
    <w:p>
      <w:pPr>
        <w:jc w:val="both"/>
        <w:ind w:left="660" w:hanging="328"/>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Limitx Technology is in development with immediate-release tablets containing hydrocodone bitartrate and acetaminophen (also known as LTX-03) as the lead product candidate due to its large market size and its known prevalence of oral excessive tablet abuse and overdose. The technology is designed to retard the release of active opioid drug when too many tablets are accidentally or purposefully ingested by neutralizing stomach acid with buffer ingredients but deliver efficacious amounts of drug when taken as a single tablet with a nominal buffer dose. US commercialization rights to LTX-03 are licensed to Abuse Deterrent Pharmaceuticals LLC (See Note 16).</w:t>
      </w:r>
    </w:p>
    <w:p>
      <w:pPr>
        <w:spacing w:after="0" w:line="17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Aversion Technology has been licensed to Zyla Life Sciences or Zyla (formerly known as Egalet Corporation) for use in Oxaydo® Tablets (oxycodone HCl, CII), and is the first approved immediate-release oxycodone product in the United States with abuse deterrent labeling. Oxaydo is currently approved by the FDA for marketing in the United States in 5mg and 7.5mg strengths (See Note 3).</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Impede Technology is used in Nexafed® Tablets (30mg pseudoephedrine HCl) and Nexafed® Sinus Pressure + Pain Tablets (30/325mg pseudoephedrine HCl and acetaminophen). We have licensed to MainPointe Pharmaceuticals, LLC (MainPointe), our Impede Technology in the United States and Canada to commercialize these Nexafed products (See Note 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Liquidity and Substantial Doubt in Going Concern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consolidated financial statements of the Company have been prepared assuming the Company will continue as a going concern and in accordance with generally accepted accounting principles in the United States of America for interim financial information, the instructions to Form 10-Q and Article 10 of Regulation S-X. Accordingly, they do not contain all disclosures required by generally accepted accounting principles. Reference should be made to the Company’s Annual Report on Form 10-K for the year ended December 31, 2018. In the opinion of the Company, all normal recurring adjustments have been made that are necessary to present fairly the results of operations for the interim periods. Operating results for the three month period ended March 31, 2019 are not necessarily indicative of the results that may be expected for the year ending December 31, 2019.</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going concern basis of presentation assumes that we will continue in operation one year after the date these financial statements are issued and we will be able to realize our assets and discharge our liabilities and commitments in the normal course of business. As of March 31, 2019, we had cash of $95 thousand, working capital deficit of $6.0 million and an accumulated deficit of $385 million. As of September 27, 2019 we had cash of approximately $600 thousand. We had a loss from operations of $0.7 million and a net loss of $0.8 million for the three months ended March 31, 2019. We have suffered recurring losses from operations and have not generated positive cash flows from operations. We had a loss from operations of $3.92 million and a net loss of $3.84 million for the year ended December 31, 2018. We anticipate operating losses to continue for the foreseeable future.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spacing w:after="0" w:line="273" w:lineRule="auto"/>
        <w:rPr>
          <w:sz w:val="20"/>
          <w:szCs w:val="20"/>
          <w:color w:val="auto"/>
        </w:rPr>
      </w:pPr>
      <w:r>
        <w:rPr>
          <w:rFonts w:ascii="Arial" w:cs="Arial" w:eastAsia="Arial" w:hAnsi="Arial"/>
          <w:sz w:val="17"/>
          <w:szCs w:val="17"/>
          <w:color w:val="auto"/>
        </w:rPr>
        <w:t>From January 1, 2019 and through June 27, 2019, we borrowed an aggregate of $650 thousand from Mr. Schutte and issued various promissory notes to him with the same terms and conditions from the previous loans. On June 28, 2019 the aggregate principal of the promissory notes was $5.0 million and the accrued interest was $274 thousand. On June 28, 2019 we borrowed $726 thousand from Mr. Schutte, bringing the aggregate principal of the loans and accrued interest to $6.0 million, and consolidated the loans into a single promissory note with a fixed interest rate of 7.5%, maturity date of July 1, 2023, granted conversion rights into 37.5 million shares of our common stock at a price of $0.16 per share, issued a warrant for 10.0 million common shares having an exercise price of $0.01 per share, and granted a security interest in all of the Company’s assets.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28, 2019, we entered into License, Development and Commercialization Agreement (the “Agreement”) with Abuse Deterrent Pharma, LLC (AD Pharma) and the $6.0 million promissory note, the common stock purchase warrant and the security agreement were all assigned and transferred by Mr. Schutte to AD Pharma (See Subsequent Event - Note 16). AD Pharma has the right to terminate the agreement for “convenience”. Should AD Pharma exercise their right to terminate the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In light of AD Pharma’s right to terminate the Agreement “upon convenience”, our auditors have included in their report relating to our 2018 financial statements a “going concern” explanatory paragraph as to substantial doubt of our ability to continue as a going concern.</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view of the matters described above, management has concluded that substantial doubt exists with respect to the Company’s ability to continue as a going concern within one year after the date the financial statements are issued. The recoverability of a major portion of the recorded asset amounts shown in the Company’s accompanying consolidated balance sheets is dependent upon continued operations of the Company, which in turn is dependent upon the Company’s ability to meet its funding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Also, the required monthly license payments by AD Pharma cease at November 2020 at which time the Company will need to have additional capital to fund operations until such time as LTX-03 is approved and royalty payments commence. To fund further operations beyond December 2020,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standards which have been adopted on or before March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which establishes a comprehensive new lease accounting model. The new standard will require most leases (with the exception of leases with terms of one year or less) to be recognized on the balance sheet as a lease liability with a corresponding right-of-use asset. Leases will be classified as an operating lease or a financing lease. The classification of the lease will affect the pattern of expense recognition in the income statement such that operating leases are expensed using the straight-line method whereas financing leases will be treated similarly to a capital lease under the current standard. The standard also requires disclosures to help investors and other financial statement users better understand the amount, timing and uncertainty of cash flows arising from leases. In July 2018, the FASB issued ASU No. 2018-10, "Codification Improvements to Topic 842, Leases" (ASU 2018-10), which provides narrow amendments to clarify how to apply certain aspects of the new lease standard, and ASU No. 2018-11, "Leases (Topic 842)-Targeted Improvements" (ASU 2018-11), which addressed implementation issues related to the new lease standard. These and certain other lease-related ASUs have generally been codified in ASC 842. ASC 842 supersedes the lease accounting requirements in Accounting Standards Codification Topic 840, Leases (ASC 840).</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adopted ASC 842 using the modified retrospective transition approach as of the effective date, which allows the Company to not adjust the comparative periods presented. The Company has elected to adopt the package of transition practical expedients and, therefore, has not reassessed whether existing or expired contracts contain a lease or the lease classification for existing or expired. The Company did not elect the practical expedient to use hindsight for leases existing at the adoption date. Upon adoption, operating leases was to be reported on the balance sheet as a gross-up of assets and liabilities, however the Company has elected, as an accounting policy, to not recognize ROU assets and lease liabilities for all short-term leases that have a lease term of 12 months or less. The adoption of the ASC 842 did not have an impact on the Company’s financial statements as has no leases with term of more than 12 months.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LICENSE AND COLLABORATION AGREEMENTS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Company’s revenues are comprised of amounts earned under its license and collaboration agreements, royalties, and until March 2017 did previously include the Nexafed products’ net product sales. Revenue recognition occurs when a customer obtains control of promised goods or services in an amount that reflects the consideration the Company expects to receive in exchange for those goods or services based on a short-term credit arrangement.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Zyla Agreement covering Oxaydo</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April 2014, we terminated an agreement with Pfizer and the return to us of Aversion Oxycodone (formerly known as Oxecta®) and all Aversion product rights in exchange for a one-time termination payment of $2.0 million. Our termination payment of $2.0 million has been recorded in our financial statements as an intangible asset and is being amortized over the remaining useful life of the patent covering Aversion Oxycodone, which was 9.7 years as of the date the agreement was terminated. We have recorded annual amortization expense of $208 thousand for each of the years 2018 and 2017. Annual amortization of the patent for the years 2019 through 2021 is expected to approximate $208 thousand each year and $52 thousand be quarter.</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2015, we and Zyla US, Inc. and Zyla Ltd., each a subsidiary of Zyla Corporation, or collectively Zyla, entered into a Collaboration and License Agreement (the “Zyla Agreement”) to commercialize Aversion Oxycodone (formerly known as Oxecta®) under our tradename Oxaydo. Oxaydo is approved by the FDA for marketing in the United States in 5 mg and 7.5 mg strengths. Under the terms of the Zyla Agreement, we transferred the approved New Drug Application, or NDA, for Oxaydo to Zyla and Zyla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7"/>
          <w:szCs w:val="17"/>
          <w:color w:val="auto"/>
        </w:rPr>
        <w:t>In accordance with the Zyla Agreement, we and Zyla have formed a joint steering committee to coordinate commercialization strategies and the development of product line extensions. Zyla is responsible for the fees and expenses relating to the Oxaydo NDA and product line extensions of Oxaydo, provided that Zyla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Zyla will bear all of the expenses of development and regulatory approval of Oxaydo for sale outside the United States. Zyla is responsible for all manufacturing and commercialization activities in the Territory for Oxaydo. Subject to certain exceptions, Zyla will have final decision making authority with respect to all development and commercialization activities for Oxaydo, including pricing, subject to our co-promotion right. Zyla may develop Oxaydo for other countries and in additional strengths, in its discretion.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Zyla paid us a $5.0 million license fee upon signing of the Zyla Agreement and on October 9, 2015, paid us a $2.5 million milestone in connection with the first commercial sale of Oxaydo. We will be entitled to a one-time $12.5 million sales-based milestone payment when worldwide Oxaydo net sales reach $150 million in a calendar year. We are receiving from Zyla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Zyla’s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Zyla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Zyla Agreement expires upon the expiration of Zyla’s royalty payment obligations in all countries. Either party may terminate the Zyla Agreement in its entirety if the other party breaches a payment obligation, or otherwise materially breaches the Zyla Agreement, subject to applicable cure periods, or in the event the other party makes an assignment for the benefit of creditors, files a petition in bankruptcy or otherwise seeks relief under applicable bankruptcy laws. We also may terminate the Zyla Agreement with respect to the U.S. and other countries if Zyla materially breaches its commercialization obligations. Zyla may terminate the Zyla Agreement for convenience on 120 days prior written notice, which termination may not occur prior to the second anniversary of Zyla’s launch of Oxaydo. Termination does not affect a party’s rights accrued prior thereto, but there are no stated payments in connection with termination other than payments of obligations previously accrued. For all terminations (but not expiration), the Zyla Agreement provides for the transition of development and marketing of Oxaydo from Zyla to us, including the conveyance by Zyla to us of the trademarks and all regulatory filings and approvals relating to Oxaydo, and for Zyla’s supply of Oxaydo for a transition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Agreement covering Nexafed products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and MainPointe entered into the MainPointe Agreement, pursuant to which we granted MainPointe an exclusive license to our Impede technology to commercialize both of our Nexafed and Nexafed Sinus Pressure + Pain product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signing the MainPointe Agreement, MainPointe paid us an upfront licensing fee of $2.5 million.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91"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KemPharm Agreement Covering Certain Opioid Prodrugs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FROM CONTRACTS WITH CUSTOMER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ASC Topic 606 on January 1, 2018 applying the modified retrospective method to all contracts that were not completed as of January 1, 2018. While the While the timing of future revenues under ASC Topic 606 may differ from the Company’s historical accounting practices under ASC Topic 605, the cumulative effect recorded through the Consolidated Statement of Stockholders’ Deficit was zero because there was no change in timing or measurement of revenues for open contracts at January 1, 2018.</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ASC 606, 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 None of the Company’s licenses and collaboration agreements contained a significant financing component at March 31, 2019.</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The Company’s existing license and collaboration agreements may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existing license and collaboration agreements contain customer options for the license of additional products and territories. We determined the option’s standalone selling prices based on the option product’s potential market size in the option territory as compared to the currently licensed product and U.S. territory. Some of our existing license and collaboration agreements contain a license to the technology as well as licenses to tradenames or trademarks. The Company determined that the licenses to the tradenames or trademarks were immaterial in context of the contract.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Sales-based Milestones and Royalty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commercial sales-based milestones and sales royalties earned under the license and collaboration for Oxaydo and sales royalties earned under the license for the Nexafed products, are recorded in the period of the related sales by Zyla and MainPointe. Payments of sales-based milestones are generally due within 30 days after the end of a calendar year. Payments of royalties are generally due within 45 days after the end of a calendar quarter.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Revenues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achievement of milestones under the Company’s license and collaboration agreements will be recorded during the period the milestone’s achievement becomes probable, which may result in earlier recognition as compared to the previous accounting standards. The license fee of an option product or option territory under the Company’s license and collaboration agreements will be recorded when the option is exercised and any obligations on behalf of the Company, such as to transfer know-how, has been fulfilled, which may result in later recognition as compared to the previous accounting standards.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Total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two licenses for currently marketed products containing its technologies; the Nexafed products containing the Impede Technology to MainPointe and Oxaydo containing the Aversion Technology to Zyla. All of the Company’s royalty revenues are earned from these two licenses and from the licensee’s sale of products in the U.S.</w:t>
      </w:r>
    </w:p>
    <w:p>
      <w:pPr>
        <w:sectPr>
          <w:pgSz w:w="11900" w:h="16838" w:orient="portrait"/>
          <w:cols w:equalWidth="0" w:num="1">
            <w:col w:w="11420"/>
          </w:cols>
          <w:pgMar w:left="240" w:top="908"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Royalty revenues by licensee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Zyla</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MainPointe</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Royalty revenues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 and Performance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Three Months Ended</w:t>
      </w:r>
    </w:p>
    <w:p>
      <w:pPr>
        <w:spacing w:after="0" w:line="36"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5"/>
          </w:tcPr>
          <w:p>
            <w:pPr>
              <w:jc w:val="right"/>
              <w:ind w:right="680"/>
              <w:spacing w:after="0"/>
              <w:rPr>
                <w:sz w:val="20"/>
                <w:szCs w:val="20"/>
                <w:color w:val="auto"/>
              </w:rPr>
            </w:pPr>
            <w:r>
              <w:rPr>
                <w:rFonts w:ascii="Arial" w:cs="Arial" w:eastAsia="Arial" w:hAnsi="Arial"/>
                <w:sz w:val="18"/>
                <w:szCs w:val="18"/>
                <w:color w:val="auto"/>
              </w:rPr>
              <w:t>(in thousands)</w:t>
            </w:r>
          </w:p>
        </w:tc>
      </w:tr>
      <w:tr>
        <w:trPr>
          <w:trHeight w:val="209"/>
        </w:trPr>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0"/>
        </w:trPr>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-445135</wp:posOffset>
            </wp:positionV>
            <wp:extent cx="542861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28615" cy="14605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-153670</wp:posOffset>
            </wp:positionV>
            <wp:extent cx="542861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6820" w:space="720"/>
            <w:col w:w="3880"/>
          </w:cols>
          <w:pgMar w:left="240" w:top="908" w:right="239" w:bottom="1440" w:gutter="0" w:footer="0" w:header="0"/>
          <w:type w:val="continuous"/>
        </w:sectPr>
      </w:pPr>
    </w:p>
    <w:p>
      <w:pPr>
        <w:spacing w:after="0" w:line="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reported contract assets and contract liability balances under the license and collaboration agreements at either March 31, 2019 or December 31, 2018 was $0.00. Contract assets may be reported in future periods under prepaid expenses or other current assets on the balance sheet. Contract liabilities may be reported in future periods consisting of deferred revenue as presented on the balance sheet.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5 - RESEARCH AND DEVELOPMENT ACTIVITIES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CROs based on agreed upon terms and may include payments in advance of a study starting date. Payments in advance will be reflected in the financial statements as prepaid expenses. We review and charge to expense the amounts for CRO costs and clinical trial study costs based on services performed and rely on estimates of those costs applicable to the stage of completion of a study as provided by the CRO to us. The accrued CRO costs are subject to revisions by us as the study progresses towards completion. Revisions are charged to expense in the period in which the facts that give rise to the revision become known to us. We did not have any remaining obligations under cancelable arrangements, nor did we have any prepaid CRO costs or prepaid clinical trial study expenses at March 31, 2019 or December 31,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at March 31, 2019 and December 31, 2018 are summarized as follows:</w:t>
      </w:r>
    </w:p>
    <w:p>
      <w:pPr>
        <w:spacing w:after="0" w:line="225"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March 31,</w:t>
            </w:r>
          </w:p>
        </w:tc>
        <w:tc>
          <w:tcPr>
            <w:tcW w:w="1080" w:type="dxa"/>
            <w:vAlign w:val="bottom"/>
            <w:gridSpan w:val="4"/>
          </w:tcPr>
          <w:p>
            <w:pPr>
              <w:spacing w:after="0"/>
              <w:rPr>
                <w:sz w:val="20"/>
                <w:szCs w:val="20"/>
                <w:color w:val="auto"/>
              </w:rPr>
            </w:pPr>
            <w:r>
              <w:rPr>
                <w:rFonts w:ascii="Arial" w:cs="Arial" w:eastAsia="Arial" w:hAnsi="Arial"/>
                <w:sz w:val="18"/>
                <w:szCs w:val="18"/>
                <w:color w:val="auto"/>
                <w:w w:val="93"/>
              </w:rPr>
              <w:t>December 31,</w:t>
            </w:r>
          </w:p>
        </w:tc>
      </w:tr>
      <w:tr>
        <w:trPr>
          <w:trHeight w:val="230"/>
        </w:trPr>
        <w:tc>
          <w:tcPr>
            <w:tcW w:w="4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0"/>
        </w:trPr>
        <w:tc>
          <w:tcPr>
            <w:tcW w:w="4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6"/>
          </w:tcPr>
          <w:p>
            <w:pPr>
              <w:jc w:val="right"/>
              <w:ind w:right="540"/>
              <w:spacing w:after="0"/>
              <w:rPr>
                <w:sz w:val="20"/>
                <w:szCs w:val="20"/>
                <w:color w:val="auto"/>
              </w:rPr>
            </w:pPr>
            <w:r>
              <w:rPr>
                <w:rFonts w:ascii="Arial" w:cs="Arial" w:eastAsia="Arial" w:hAnsi="Arial"/>
                <w:sz w:val="18"/>
                <w:szCs w:val="18"/>
                <w:color w:val="auto"/>
              </w:rPr>
              <w:t>(in thousands)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1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1,273</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Scientific equipment</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 personal property</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4000" w:type="dxa"/>
            <w:vAlign w:val="bottom"/>
          </w:tcPr>
          <w:p>
            <w:pPr>
              <w:ind w:left="16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(1,923)</w:t>
            </w: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(1,906)</w:t>
            </w:r>
          </w:p>
        </w:tc>
      </w:tr>
      <w:tr>
        <w:trPr>
          <w:trHeight w:val="210"/>
        </w:trPr>
        <w:tc>
          <w:tcPr>
            <w:tcW w:w="4000" w:type="dxa"/>
            <w:vAlign w:val="bottom"/>
          </w:tcPr>
          <w:p>
            <w:pPr>
              <w:ind w:left="160"/>
              <w:spacing w:after="0"/>
              <w:rPr>
                <w:sz w:val="20"/>
                <w:szCs w:val="20"/>
                <w:color w:val="auto"/>
              </w:rPr>
            </w:pPr>
            <w:r>
              <w:rPr>
                <w:rFonts w:ascii="Arial" w:cs="Arial" w:eastAsia="Arial" w:hAnsi="Arial"/>
                <w:sz w:val="18"/>
                <w:szCs w:val="18"/>
                <w:color w:val="auto"/>
              </w:rPr>
              <w:t>Net property, plant and equipment</w:t>
            </w:r>
          </w:p>
        </w:tc>
        <w:tc>
          <w:tcPr>
            <w:tcW w:w="13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do not have leasehold improvements nor do we have capitalized leases. Costs of betterments are capitalized while maintenance costs and repair costs are charged to operations as incurred. When a depreciable asset is retired from service, the cost and accumulated depreciation will be removed from the respective accounts. Depreciation expense was $17 thousand and $20 thousand for the three month period ended March 31, 2019 and 2018, respectively. The Company leases administrative office space in Palatine, Illinois on a month to month basis at the rate of approximately $2 thousand per month.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NOTE 7 - ACCRUED EXPENSES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020" w:type="dxa"/>
            <w:vAlign w:val="bottom"/>
            <w:gridSpan w:val="2"/>
          </w:tcPr>
          <w:p>
            <w:pPr>
              <w:spacing w:after="0"/>
              <w:rPr>
                <w:sz w:val="20"/>
                <w:szCs w:val="20"/>
                <w:color w:val="auto"/>
              </w:rPr>
            </w:pPr>
            <w:r>
              <w:rPr>
                <w:rFonts w:ascii="Arial" w:cs="Arial" w:eastAsia="Arial" w:hAnsi="Arial"/>
                <w:sz w:val="18"/>
                <w:szCs w:val="18"/>
                <w:color w:val="auto"/>
              </w:rPr>
              <w:t>Accrued expenses at March 31, 2019 and December 31, 2018 are summarized as follows: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11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December</w:t>
            </w:r>
          </w:p>
        </w:tc>
      </w:tr>
      <w:tr>
        <w:trPr>
          <w:trHeight w:val="230"/>
        </w:trPr>
        <w:tc>
          <w:tcPr>
            <w:tcW w:w="11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w w:val="94"/>
              </w:rPr>
              <w:t>March 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r>
      <w:tr>
        <w:trPr>
          <w:trHeight w:val="250"/>
        </w:trPr>
        <w:tc>
          <w:tcPr>
            <w:tcW w:w="116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5"/>
          </w:tcPr>
          <w:p>
            <w:pPr>
              <w:ind w:left="480"/>
              <w:spacing w:after="0"/>
              <w:rPr>
                <w:sz w:val="20"/>
                <w:szCs w:val="20"/>
                <w:color w:val="auto"/>
              </w:rPr>
            </w:pPr>
            <w:r>
              <w:rPr>
                <w:rFonts w:ascii="Arial" w:cs="Arial" w:eastAsia="Arial" w:hAnsi="Arial"/>
                <w:sz w:val="18"/>
                <w:szCs w:val="18"/>
                <w:color w:val="auto"/>
              </w:rPr>
              <w:t>(in thousands)</w:t>
            </w:r>
          </w:p>
        </w:tc>
      </w:tr>
      <w:tr>
        <w:trPr>
          <w:trHeight w:val="210"/>
        </w:trPr>
        <w:tc>
          <w:tcPr>
            <w:tcW w:w="116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sharing expenses under license agreement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Financed premiums on insurance policies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Clinical, non-clinical and regulatory services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Franchise taxes</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2013, we entered into a Loan and Security Agreement (the “Oxford Loan Agreement”) with Oxford Finance LLC (“Oxford” or the “Lender”), for a term loan to the Company in the principal amount of $10.0 million (the “Term Loan”). On October 5, 2018 we borrowed $1.8 million from Mr. Schutte and used $1.5 million from the loan proceeds to fully pay-off the debt outstanding under the Oxford Loan Agreement. All security interests of Oxford with respect to the Oxford Term Loan have been released.</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Oxford Term Loan accrued interest at a fixed rate of 8.35% per annum (with a default rate of 13.35% per annum). The Company was required to make monthly interest−only payments until April 1, 2015 (“Amortization Date”) and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was due and payable in full on December 1, 2018. As security for its obligations under the initial Oxford Loan Agreement (prior to the Third Amendment), the Company granted Lender a security interest in substantially all of its existing and after−acquired assets, exclusive of its intellectual property assets. Upon the execution of the Oxford Loan Agreement, we issued to the Lender warrants to purchase an aggregate of up to 60 thousand shares of our common stock at an exercise price equal to $7.98 per share (after adjustment for our one-for-five reverse stock split) (the “Warrants”). We recorded $400 thousand as debt discount associated with the relative fair value of the Warrants and are amortizing it to interest expense over the term of the loan using the loan’s effective interest rate. The Warrants are immediately exercisable for cash or by net exercise and will expire December 27, 2020.</w:t>
      </w:r>
    </w:p>
    <w:p>
      <w:pPr>
        <w:spacing w:after="0" w:line="17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January 2015, we and Oxford amended the Oxford Loan Agreement providing for the exercise price of the Warrants to be lowered from $7.98 to $2.52 per share (the average closing price of our common stock on Nasdaq for the 10 trading days preceding the date of the amendment and after giving effect to our one-for-five reverse stock split) and we recorded additional debt discount of $33 thousand representing the fair value of the Warrant modification.</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Oxford Loan Agreement. Combined with the Company’s own expenses and a $100 thousand consulting placement fee, the Company incurred a total $231 thousand in deferred debt issue costs. We are amortizing these costs, including debt modification additional costs, into interest expense over the term of the Term Loan using the loan’s effective interest rate of 10.16%. In October 2018, we negotiated and settled the Oxford Loan for $1.5 million and recognized a gain of $296 thousand.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borrowed an aggregate of $4.75 million as of March 31, 2019 (and additional amounts aggregating $250 thousand during the period April 1, 2019 through June 27, 2019) from Mr. Schutte, a related-party, and issued various promissory notes (the Schutte Notes) to him. The Schutte Notes bear interest at prime plus 2.0%, and mature on January 2, 2020, at which time all principal and interest is due, and was unsecured until all obligations to Oxford were satisfied at which time we were required to grant a security interest to Mr. Schutte in all of our assets. Because we believe the Schutte Notes’ rate of interest is below current market rates for us, we impute interest on the below market rate element of the loans using the 10.16% interest rate under the Oxford Loan Agreement and this has aggregated to $181 thousand as of March 31, 2019. We recorded these benefits to interest income in the period we received the loan, with a corresponding like amount as debt discount against the principal amount of the loan. The debt discount will be amortized to interest expense over the term on the loans. At March 31, 2019, the unamortized debt discount balance is $103 thousand and the accrued interest balance is $190 thousand.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The events of default under the Schutte Notes are limited to bankruptcy defaults and failure to pay interest and principal when due on January 2, 2020. The Schutte Notes may be prepaid at any time in whole or in part.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$4.750 million loan outstanding from Mr. Schutte as of March 31, 2019 is a borrowing of $1.8 million completed on October 5, 2018 where we used $1.5 million of these loan proceeds to fully pay-off the debt outstanding under the Oxford Loan Agreement and therefore, all our assets are pledged as collateral under the Schutte Notes, including our intellectual property.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29, 2019 we borrowed an additional $726 thousand from Mr. Schutte and consolidated the loans in a single note along with the accrued interest (See Subsequent Event - Note 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Our debt at March 31, 2019 is summarized below (in thousands):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880" w:type="dxa"/>
            <w:vAlign w:val="bottom"/>
            <w:gridSpan w:val="2"/>
          </w:tcPr>
          <w:p>
            <w:pPr>
              <w:ind w:left="660"/>
              <w:spacing w:after="0"/>
              <w:rPr>
                <w:sz w:val="20"/>
                <w:szCs w:val="20"/>
                <w:color w:val="auto"/>
              </w:rPr>
            </w:pPr>
            <w:r>
              <w:rPr>
                <w:rFonts w:ascii="Arial" w:cs="Arial" w:eastAsia="Arial" w:hAnsi="Arial"/>
                <w:sz w:val="18"/>
                <w:szCs w:val="18"/>
                <w:color w:val="auto"/>
              </w:rPr>
              <w:t>Debt to Related Party</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Current</w:t>
            </w:r>
          </w:p>
        </w:tc>
        <w:tc>
          <w:tcPr>
            <w:tcW w:w="6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Long-term</w:t>
            </w:r>
          </w:p>
        </w:tc>
        <w:tc>
          <w:tcPr>
            <w:tcW w:w="18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Total</w:t>
            </w:r>
          </w:p>
        </w:tc>
      </w:tr>
      <w:tr>
        <w:trPr>
          <w:trHeight w:val="210"/>
        </w:trPr>
        <w:tc>
          <w:tcPr>
            <w:tcW w:w="660" w:type="dxa"/>
            <w:vAlign w:val="bottom"/>
          </w:tcPr>
          <w:p>
            <w:pPr>
              <w:spacing w:after="0"/>
              <w:rPr>
                <w:sz w:val="18"/>
                <w:szCs w:val="18"/>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Loans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Balance at Jan. 1, 2019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4,350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4,350</w:t>
            </w:r>
          </w:p>
        </w:tc>
      </w:tr>
      <w:tr>
        <w:trPr>
          <w:trHeight w:val="216"/>
        </w:trPr>
        <w:tc>
          <w:tcPr>
            <w:tcW w:w="66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Principal borrowings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400</w:t>
            </w:r>
          </w:p>
        </w:tc>
      </w:tr>
      <w:tr>
        <w:trPr>
          <w:trHeight w:val="210"/>
        </w:trPr>
        <w:tc>
          <w:tcPr>
            <w:tcW w:w="66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 31, 2019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80" w:type="dxa"/>
            <w:vAlign w:val="bottom"/>
            <w:tcBorders>
              <w:top w:val="single" w:sz="8" w:color="CCEEFF"/>
            </w:tcBorders>
            <w:shd w:val="clear" w:color="auto" w:fill="CCEEFF"/>
          </w:tcPr>
          <w:p>
            <w:pPr>
              <w:spacing w:after="0"/>
              <w:rPr>
                <w:sz w:val="18"/>
                <w:szCs w:val="18"/>
                <w:color w:val="auto"/>
              </w:rPr>
            </w:pPr>
          </w:p>
        </w:tc>
      </w:tr>
      <w:tr>
        <w:trPr>
          <w:trHeight w:val="466"/>
        </w:trPr>
        <w:tc>
          <w:tcPr>
            <w:tcW w:w="5880" w:type="dxa"/>
            <w:vAlign w:val="bottom"/>
            <w:gridSpan w:val="2"/>
          </w:tcPr>
          <w:p>
            <w:pPr>
              <w:ind w:left="660"/>
              <w:spacing w:after="0"/>
              <w:rPr>
                <w:sz w:val="20"/>
                <w:szCs w:val="20"/>
                <w:color w:val="auto"/>
              </w:rPr>
            </w:pPr>
            <w:r>
              <w:rPr>
                <w:rFonts w:ascii="Arial" w:cs="Arial" w:eastAsia="Arial" w:hAnsi="Arial"/>
                <w:sz w:val="18"/>
                <w:szCs w:val="18"/>
                <w:color w:val="auto"/>
              </w:rPr>
              <w:t>Debt Discount, net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Current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Long-term</w:t>
            </w:r>
          </w:p>
        </w:tc>
        <w:tc>
          <w:tcPr>
            <w:tcW w:w="18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Total</w:t>
            </w:r>
          </w:p>
        </w:tc>
      </w:tr>
      <w:tr>
        <w:trPr>
          <w:trHeight w:val="210"/>
        </w:trPr>
        <w:tc>
          <w:tcPr>
            <w:tcW w:w="660" w:type="dxa"/>
            <w:vAlign w:val="bottom"/>
          </w:tcPr>
          <w:p>
            <w:pPr>
              <w:spacing w:after="0"/>
              <w:rPr>
                <w:sz w:val="18"/>
                <w:szCs w:val="18"/>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 1, 2019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Classification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60" w:type="dxa"/>
            <w:vAlign w:val="bottom"/>
          </w:tcPr>
          <w:p>
            <w:pPr>
              <w:spacing w:after="0"/>
              <w:rPr>
                <w:sz w:val="19"/>
                <w:szCs w:val="19"/>
                <w:color w:val="auto"/>
              </w:rPr>
            </w:pPr>
          </w:p>
        </w:tc>
        <w:tc>
          <w:tcPr>
            <w:tcW w:w="52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Amortization expense</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 31, 2019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60" w:type="dxa"/>
            <w:vAlign w:val="bottom"/>
          </w:tcPr>
          <w:p>
            <w:pPr>
              <w:spacing w:after="0"/>
              <w:rPr>
                <w:sz w:val="18"/>
                <w:szCs w:val="18"/>
                <w:color w:val="auto"/>
              </w:rPr>
            </w:pPr>
          </w:p>
        </w:tc>
        <w:tc>
          <w:tcPr>
            <w:tcW w:w="5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Debt to Related Party, net at Mar 31, 2019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debt interest expense for the three months ended March 31, 2019 and 2018 consisted of the following:</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7"/>
          </w:tcPr>
          <w:p>
            <w:pPr>
              <w:jc w:val="right"/>
              <w:ind w:right="360"/>
              <w:spacing w:after="0"/>
              <w:rPr>
                <w:sz w:val="20"/>
                <w:szCs w:val="20"/>
                <w:color w:val="auto"/>
              </w:rPr>
            </w:pPr>
            <w:r>
              <w:rPr>
                <w:rFonts w:ascii="Arial" w:cs="Arial" w:eastAsia="Arial" w:hAnsi="Arial"/>
                <w:sz w:val="18"/>
                <w:szCs w:val="18"/>
                <w:color w:val="auto"/>
                <w:w w:val="93"/>
              </w:rPr>
              <w:t>Three Months Ended</w:t>
            </w:r>
          </w:p>
        </w:tc>
      </w:tr>
      <w:tr>
        <w:trPr>
          <w:trHeight w:val="230"/>
        </w:trPr>
        <w:tc>
          <w:tcPr>
            <w:tcW w:w="6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Fully paid term loan</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Related party term loans</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discount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Debt issue costs</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r>
      <w:tr>
        <w:trPr>
          <w:trHeight w:val="230"/>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Financed insurance premiums</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6420" w:type="dxa"/>
            <w:vAlign w:val="bottom"/>
            <w:gridSpan w:val="2"/>
          </w:tcPr>
          <w:p>
            <w:pPr>
              <w:ind w:left="160"/>
              <w:spacing w:after="0"/>
              <w:rPr>
                <w:sz w:val="20"/>
                <w:szCs w:val="20"/>
                <w:color w:val="auto"/>
              </w:rPr>
            </w:pPr>
            <w:r>
              <w:rPr>
                <w:rFonts w:ascii="Arial" w:cs="Arial" w:eastAsia="Arial" w:hAnsi="Arial"/>
                <w:sz w:val="18"/>
                <w:szCs w:val="18"/>
                <w:color w:val="auto"/>
              </w:rPr>
              <w:t>Total interest expense</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Less: imputed interest income on related party loans</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6420" w:type="dxa"/>
            <w:vAlign w:val="bottom"/>
            <w:gridSpan w:val="2"/>
          </w:tcPr>
          <w:p>
            <w:pPr>
              <w:ind w:left="160"/>
              <w:spacing w:after="0"/>
              <w:rPr>
                <w:sz w:val="20"/>
                <w:szCs w:val="20"/>
                <w:color w:val="auto"/>
              </w:rPr>
            </w:pPr>
            <w:r>
              <w:rPr>
                <w:rFonts w:ascii="Arial" w:cs="Arial" w:eastAsia="Arial" w:hAnsi="Arial"/>
                <w:sz w:val="18"/>
                <w:szCs w:val="18"/>
                <w:color w:val="auto"/>
              </w:rPr>
              <w:t>Total interest expense, net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2017, we completed a $4.0 million private placement with Mr. Schutte (sometimes referred to as the “Investor”),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at a price of $0.528 per share (which equals the average last sale price of the Company’s common stock for the five trading days prior to completion of the Transaction) and expire five years after issuance (subject to earlier expiration in event of certain acquisitions). We have assigned a relative fair value of $495 thousand to the warrants out of the total $4.0 million proceeds from the private placement transaction and have accounted these warrants as equity. The Transaction was completed through a private placement to an accredited investor and was exempt from registration pursuant to Section 4(2) of the Securities Act of 1933, as amended and/or Regulation D promulgated under the Securities Act of 1933.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76" w:lineRule="auto"/>
        <w:rPr>
          <w:sz w:val="20"/>
          <w:szCs w:val="20"/>
          <w:color w:val="auto"/>
        </w:rPr>
      </w:pPr>
      <w:r>
        <w:rPr>
          <w:rFonts w:ascii="Arial" w:cs="Arial" w:eastAsia="Arial" w:hAnsi="Arial"/>
          <w:sz w:val="17"/>
          <w:szCs w:val="17"/>
          <w:color w:val="auto"/>
        </w:rPr>
        <w:t>Investor is a principal of MainPointe, a Kentucky limited liability company. In March 2017, we granted MainPointe an exclusive license to our Impede Technology to commercialize our Nexafed® and Nexafed® Sinus Pressure + Pain Products in the United States and Canada for an upfront licensing fee of $2.5 million plus approximately $309 thousand for transferred inventory and equipment. The Company is receiving a 7.5% royalty on sales of licensed products. MainPointe also has options to expand the territory and products covered for additional sums. Included in the reported royalty revenue for the three months ended 2019 and 2018 is $12 thousand and $8 thousand, respectively of royalty revenue from MainPointe (See Note 3).</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the closing of the Transaction, the Company and Essex Woodlands Health Ventures V, L.P. (“Essex”) and Galen Partners III, L.P. (“Galen”) amended and restated the existing Voting Agreement including such parties to provide for the Investor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Investor, and the parties to such agreement would vote for such persons. The right of each of Essex, Galen and Investor to designate one director to our Board will continue as long as he or it and their affiliates collectively hold at least 600,000 shares of our common stock (including warrants exercisable for such shares). Immanuel Thangaraj is the designee of Essex. Investor has not designated a director as of the date of filing of this Report. Galen had not designated a director and lost that right in December 2017 when it disposed of its shares of common stock in the Company.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An independent director has not been named to fill the seat forfeited by Galen.</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period April 1, 2019 through June 27, 2019 we borrowed an aggregate of $250 thousand from Mr. Schutte. On June 28, 2019 we borrowed $726 thousand from Mr. Schutte and consolidated the loans in a single note along with the accrued interest (See Subsequent Event - Note 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warrant activity for the three months ended March 31, 2019 and 2018 consisted of the following (in thousands except price data):</w:t>
      </w: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4"/>
          </w:tcPr>
          <w:p>
            <w:pPr>
              <w:jc w:val="right"/>
              <w:ind w:right="420"/>
              <w:spacing w:after="0"/>
              <w:rPr>
                <w:sz w:val="20"/>
                <w:szCs w:val="20"/>
                <w:color w:val="auto"/>
              </w:rPr>
            </w:pPr>
            <w:r>
              <w:rPr>
                <w:rFonts w:ascii="Arial" w:cs="Arial" w:eastAsia="Arial" w:hAnsi="Arial"/>
                <w:sz w:val="18"/>
                <w:szCs w:val="18"/>
                <w:color w:val="auto"/>
                <w:w w:val="97"/>
              </w:rPr>
              <w:t>Three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2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8"/>
                <w:szCs w:val="18"/>
                <w:color w:val="auto"/>
              </w:rPr>
              <w:t>March 31,</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2019</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2018</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5"/>
        </w:trPr>
        <w:tc>
          <w:tcPr>
            <w:tcW w:w="4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5"/>
              </w:rPr>
              <w:t>WAvg</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5"/>
              </w:rPr>
              <w:t>WAvg</w:t>
            </w:r>
          </w:p>
        </w:tc>
        <w:tc>
          <w:tcPr>
            <w:tcW w:w="80" w:type="dxa"/>
            <w:vAlign w:val="bottom"/>
            <w:gridSpan w:val="2"/>
          </w:tcPr>
          <w:p>
            <w:pPr>
              <w:spacing w:after="0"/>
              <w:rPr>
                <w:sz w:val="16"/>
                <w:szCs w:val="16"/>
                <w:color w:val="auto"/>
              </w:rPr>
            </w:pPr>
          </w:p>
        </w:tc>
      </w:tr>
      <w:tr>
        <w:trPr>
          <w:trHeight w:val="216"/>
        </w:trPr>
        <w:tc>
          <w:tcPr>
            <w:tcW w:w="4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Exercise</w:t>
            </w:r>
          </w:p>
        </w:tc>
      </w:tr>
      <w:tr>
        <w:trPr>
          <w:trHeight w:val="230"/>
        </w:trPr>
        <w:tc>
          <w:tcPr>
            <w:tcW w:w="4200" w:type="dxa"/>
            <w:vAlign w:val="bottom"/>
          </w:tcPr>
          <w:p>
            <w:pPr>
              <w:spacing w:after="0"/>
              <w:rPr>
                <w:sz w:val="20"/>
                <w:szCs w:val="20"/>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Number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Price</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Price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200" w:type="dxa"/>
            <w:vAlign w:val="bottom"/>
          </w:tcPr>
          <w:p>
            <w:pPr>
              <w:ind w:left="260"/>
              <w:spacing w:after="0"/>
              <w:rPr>
                <w:sz w:val="20"/>
                <w:szCs w:val="20"/>
                <w:color w:val="auto"/>
              </w:rPr>
            </w:pPr>
            <w:r>
              <w:rPr>
                <w:rFonts w:ascii="Arial" w:cs="Arial" w:eastAsia="Arial" w:hAnsi="Arial"/>
                <w:sz w:val="18"/>
                <w:szCs w:val="18"/>
                <w:color w:val="auto"/>
              </w:rPr>
              <w:t>Issued</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ind w:left="260"/>
              <w:spacing w:after="0"/>
              <w:rPr>
                <w:sz w:val="20"/>
                <w:szCs w:val="20"/>
                <w:color w:val="auto"/>
              </w:rPr>
            </w:pPr>
            <w:r>
              <w:rPr>
                <w:rFonts w:ascii="Arial" w:cs="Arial" w:eastAsia="Arial" w:hAnsi="Arial"/>
                <w:sz w:val="18"/>
                <w:szCs w:val="18"/>
                <w:color w:val="auto"/>
              </w:rPr>
              <w:t>Expired</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4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Modification</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Outstanding, Mar. 31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issuance of the $10.0 million secured promissory notes in December 2013, we issued common stock purchase warrants (“warrants”) exercisable for 60 thousand shares of our common stock having an exercise price of $2.52 per share (after giving effect to our one-for-five reverse stock split) with an expiration date in December 2020. These warrants contain a cashless exercise feature (See Note 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spacing w:after="0" w:line="312" w:lineRule="auto"/>
        <w:rPr>
          <w:sz w:val="20"/>
          <w:szCs w:val="20"/>
          <w:color w:val="auto"/>
        </w:rPr>
      </w:pPr>
      <w:r>
        <w:rPr>
          <w:rFonts w:ascii="Arial" w:cs="Arial" w:eastAsia="Arial" w:hAnsi="Arial"/>
          <w:sz w:val="16"/>
          <w:szCs w:val="16"/>
          <w:color w:val="auto"/>
        </w:rPr>
        <w:t>As part of our July 2017 private placement transaction with John Schutte, we issued warrants to purchase 1,782,531 shares of our common stock. The Warrants are immediately exercisable at a price of $0.528 per share and expire five years after issuance (See Note 9). We have assigned a relative fair value of $495 thousand to the warrants out of the total $4.0 million proceeds from the private placement transaction and have accounted these warrants as equity.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financial instruments consist primarily of cash and cash equivalents, receivables from trade, royalties and collaboration, trade accounts payable, and our long-term debt. The carrying amounts of these financial instruments, other than our long-term debt, are representative of their respective fair values due to their relatively short maturities.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four share-based compensation plans covering stock options and RSUs for our employees and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market price of our common stock on the date of grant, less its exercise cost.</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share-based compensation expense recognized in the Company’s results of operations from non-cash and cash-portioned instruments issued to our employees and directors comprised the following (in thousands):</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w w:val="99"/>
              </w:rPr>
              <w:t>Three Months Ended</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7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rPr>
              <w:t>March 31,</w:t>
            </w:r>
          </w:p>
        </w:tc>
        <w:tc>
          <w:tcPr>
            <w:tcW w:w="2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660" w:type="dxa"/>
            <w:vAlign w:val="bottom"/>
          </w:tcPr>
          <w:p>
            <w:pPr>
              <w:jc w:val="right"/>
              <w:ind w:right="499"/>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units</w:t>
            </w:r>
          </w:p>
        </w:tc>
        <w:tc>
          <w:tcPr>
            <w:tcW w:w="6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7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Subtotal</w:t>
            </w:r>
          </w:p>
        </w:tc>
        <w:tc>
          <w:tcPr>
            <w:tcW w:w="6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6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stock units</w:t>
            </w: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Subtotal</w:t>
            </w:r>
          </w:p>
        </w:tc>
        <w:tc>
          <w:tcPr>
            <w:tcW w:w="66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4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 activity during the three month periods ending March 31, 2019 and 2018 is shown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4"/>
          </w:tcPr>
          <w:p>
            <w:pPr>
              <w:jc w:val="right"/>
              <w:ind w:right="400"/>
              <w:spacing w:after="0"/>
              <w:rPr>
                <w:sz w:val="20"/>
                <w:szCs w:val="20"/>
                <w:color w:val="auto"/>
              </w:rPr>
            </w:pPr>
            <w:r>
              <w:rPr>
                <w:rFonts w:ascii="Arial" w:cs="Arial" w:eastAsia="Arial" w:hAnsi="Arial"/>
                <w:sz w:val="18"/>
                <w:szCs w:val="18"/>
                <w:color w:val="auto"/>
                <w:w w:val="97"/>
              </w:rPr>
              <w:t>Three Months Ended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8"/>
                <w:szCs w:val="18"/>
                <w:color w:val="auto"/>
              </w:rPr>
              <w:t>March 31,</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2019</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2018</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95"/>
        </w:trPr>
        <w:tc>
          <w:tcPr>
            <w:tcW w:w="14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gridSpan w:val="2"/>
          </w:tcPr>
          <w:p>
            <w:pPr>
              <w:jc w:val="right"/>
              <w:ind w:right="300"/>
              <w:spacing w:after="0" w:line="195" w:lineRule="exact"/>
              <w:rPr>
                <w:sz w:val="20"/>
                <w:szCs w:val="20"/>
                <w:color w:val="auto"/>
              </w:rPr>
            </w:pPr>
            <w:r>
              <w:rPr>
                <w:rFonts w:ascii="Arial" w:cs="Arial" w:eastAsia="Arial" w:hAnsi="Arial"/>
                <w:sz w:val="18"/>
                <w:szCs w:val="18"/>
                <w:color w:val="auto"/>
              </w:rPr>
              <w:t>Number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Weighted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6"/>
        </w:trPr>
        <w:tc>
          <w:tcPr>
            <w:tcW w:w="14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rPr>
              <w:t>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Number of</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Options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Options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Exercise</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(000’s)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Price</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(000’s)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Price</w:t>
            </w:r>
          </w:p>
        </w:tc>
        <w:tc>
          <w:tcPr>
            <w:tcW w:w="1440" w:type="dxa"/>
            <w:vAlign w:val="bottom"/>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29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Exercised</w:t>
            </w:r>
          </w:p>
        </w:tc>
        <w:tc>
          <w:tcPr>
            <w:tcW w:w="2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2940" w:type="dxa"/>
            <w:vAlign w:val="bottom"/>
          </w:tcPr>
          <w:p>
            <w:pPr>
              <w:ind w:left="260"/>
              <w:spacing w:after="0"/>
              <w:rPr>
                <w:sz w:val="20"/>
                <w:szCs w:val="20"/>
                <w:color w:val="auto"/>
              </w:rPr>
            </w:pPr>
            <w:r>
              <w:rPr>
                <w:rFonts w:ascii="Arial" w:cs="Arial" w:eastAsia="Arial" w:hAnsi="Arial"/>
                <w:sz w:val="18"/>
                <w:szCs w:val="18"/>
                <w:color w:val="auto"/>
              </w:rPr>
              <w:t>Forfeited or expired</w:t>
            </w:r>
          </w:p>
        </w:tc>
        <w:tc>
          <w:tcPr>
            <w:tcW w:w="232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(28.06)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(32.50)</w:t>
            </w:r>
          </w:p>
        </w:tc>
        <w:tc>
          <w:tcPr>
            <w:tcW w:w="1440" w:type="dxa"/>
            <w:vAlign w:val="bottom"/>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Mar. 31</w:t>
            </w:r>
          </w:p>
        </w:tc>
        <w:tc>
          <w:tcPr>
            <w:tcW w:w="1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Options exercisable</w:t>
            </w:r>
          </w:p>
        </w:tc>
        <w:tc>
          <w:tcPr>
            <w:tcW w:w="12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642"/>
        </w:trPr>
        <w:tc>
          <w:tcPr>
            <w:tcW w:w="14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summarizes information about nonvested stock options outstanding at March 31, 2019 (in thousands except price data):</w:t>
      </w: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2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r>
      <w:tr>
        <w:trPr>
          <w:trHeight w:val="216"/>
        </w:trPr>
        <w:tc>
          <w:tcPr>
            <w:tcW w:w="566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Options Not</w:t>
            </w:r>
          </w:p>
        </w:tc>
        <w:tc>
          <w:tcPr>
            <w:tcW w:w="2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30"/>
        </w:trPr>
        <w:tc>
          <w:tcPr>
            <w:tcW w:w="566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Exercisable</w:t>
            </w:r>
          </w:p>
        </w:tc>
        <w:tc>
          <w:tcPr>
            <w:tcW w:w="20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Fair Value</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 2019</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56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30"/>
        </w:trPr>
        <w:tc>
          <w:tcPr>
            <w:tcW w:w="56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 31, 2019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intrinsic value of the option awards which were vested and outstanding at each of March 31, 2019 and 2018 was $0 thousand. The total remaining unrecognized compensation cost on unvested option awards outstanding at March 31, 2019 was $15 thousand, and is expected to be recognized in operating expense in varying amounts over the 8 months remaining in the requisite service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two Restricted Stock Unit Award Plans for our employees and non-employee directors; a 2017 Restricted Stock Unit Award Plan (the “2017 RSU Plan”) and a 2014 Restricted Stock Unit Award Plan (the “2014 RSU Plan”). The 2017 RSU Plan was approved by our shareholders in November 2017 and permits the grant of up to 1.5 million shares of our common stock pursuant to awards under the 2017 RSU Plan. The 2014 RSU Plan was approved by shareholders in May 2014 and permits the grant of up to 400 thousand shares of our common stock pursuant to awards under the 2014 RSU Plan. As of March 31, 2019 there are approximately 219 thousand shares available for award under the 2017 RSU Plan and there are no remaining shares available for award under the 2014 RSU Plan.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Vesting of an RSU entitles the holder to receive a share of our common stock on a distribution date. The RSU awards to our non-employee directors allow for them to receive payment in cash upon the RSU award’s distribution, instead of an exchange into our common stock, for up to 40% of each RSU award. The portion of the RSU award subject to cash settlement is recorded as a liability in the Company’s balance sheet and to either general and administrative expense or research and development expense while being marked-to-market each reporting period until the award is distributed. The liability was $6 thousand and $11 thousand at March 31, 2019 and December 31, 2018, respectively.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cost to be incurred by the Company on a granted RSU award without a cash settlement option is the RSU’s fair value, which is the market price of our common stock on the date of grant, less its exercise cost. The compensation cost is amortized over the vesting period of the RSU award to either general and administrative expense or research and development expense and recorded as additional paid-in capital.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A summary of the grants under the RSU Plans as of March 31, 2019 and 2018, and for the three month period then ended consisted of the following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4"/>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2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8"/>
                <w:szCs w:val="18"/>
                <w:color w:val="auto"/>
                <w:w w:val="92"/>
              </w:rPr>
              <w:t>March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8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42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8"/>
                <w:szCs w:val="18"/>
                <w:color w:val="auto"/>
                <w:w w:val="89"/>
              </w:rPr>
              <w:t>(in thousands)</w:t>
            </w: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5"/>
        </w:trPr>
        <w:tc>
          <w:tcPr>
            <w:tcW w:w="4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2"/>
              </w:rPr>
              <w:t>Number of</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95"/>
              </w:rPr>
              <w:t>Number of</w:t>
            </w:r>
          </w:p>
        </w:tc>
        <w:tc>
          <w:tcPr>
            <w:tcW w:w="80" w:type="dxa"/>
            <w:vAlign w:val="bottom"/>
            <w:gridSpan w:val="2"/>
          </w:tcPr>
          <w:p>
            <w:pPr>
              <w:spacing w:after="0"/>
              <w:rPr>
                <w:sz w:val="16"/>
                <w:szCs w:val="16"/>
                <w:color w:val="auto"/>
              </w:rPr>
            </w:pPr>
          </w:p>
        </w:tc>
      </w:tr>
      <w:tr>
        <w:trPr>
          <w:trHeight w:val="216"/>
        </w:trPr>
        <w:tc>
          <w:tcPr>
            <w:tcW w:w="420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Number of</w:t>
            </w: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Vested</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Number of</w:t>
            </w: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85"/>
              </w:rPr>
              <w:t>Vested</w:t>
            </w:r>
          </w:p>
        </w:tc>
      </w:tr>
      <w:tr>
        <w:trPr>
          <w:trHeight w:val="230"/>
        </w:trPr>
        <w:tc>
          <w:tcPr>
            <w:tcW w:w="4200" w:type="dxa"/>
            <w:vAlign w:val="bottom"/>
          </w:tcPr>
          <w:p>
            <w:pPr>
              <w:spacing w:after="0"/>
              <w:rPr>
                <w:sz w:val="20"/>
                <w:szCs w:val="20"/>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RSUs</w:t>
            </w: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RSUs</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RSUs</w:t>
            </w:r>
          </w:p>
        </w:tc>
        <w:tc>
          <w:tcPr>
            <w:tcW w:w="100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RSUs</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200" w:type="dxa"/>
            <w:vAlign w:val="bottom"/>
          </w:tcPr>
          <w:p>
            <w:pPr>
              <w:ind w:left="26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Distributed</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r>
      <w:tr>
        <w:trPr>
          <w:trHeight w:val="216"/>
        </w:trPr>
        <w:tc>
          <w:tcPr>
            <w:tcW w:w="4200" w:type="dxa"/>
            <w:vAlign w:val="bottom"/>
          </w:tcPr>
          <w:p>
            <w:pPr>
              <w:ind w:left="260"/>
              <w:spacing w:after="0"/>
              <w:rPr>
                <w:sz w:val="20"/>
                <w:szCs w:val="20"/>
                <w:color w:val="auto"/>
              </w:rPr>
            </w:pPr>
            <w:r>
              <w:rPr>
                <w:rFonts w:ascii="Arial" w:cs="Arial" w:eastAsia="Arial" w:hAnsi="Arial"/>
                <w:sz w:val="18"/>
                <w:szCs w:val="18"/>
                <w:color w:val="auto"/>
              </w:rPr>
              <w:t>Vested</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r>
      <w:tr>
        <w:trPr>
          <w:trHeight w:val="230"/>
        </w:trPr>
        <w:tc>
          <w:tcPr>
            <w:tcW w:w="4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Forfeited or expired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Outstanding, Mar. 31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 activity under the RSU Plans is as follows:</w:t>
      </w:r>
    </w:p>
    <w:p>
      <w:pPr>
        <w:spacing w:after="0" w:line="225" w:lineRule="exact"/>
        <w:rPr>
          <w:sz w:val="20"/>
          <w:szCs w:val="20"/>
          <w:color w:val="auto"/>
        </w:rPr>
      </w:pPr>
    </w:p>
    <w:p>
      <w:pPr>
        <w:jc w:val="both"/>
        <w:ind w:left="580" w:hanging="248"/>
        <w:spacing w:after="0" w:line="25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December 2017, we awarded 200 thousand RSUs to employees and such RSU awards were fully vested on December 31, 2018. Distribution of these awards and the exchange into common stock will occur in one third amounts on each of January 1, 2020, 2021 and 2022. The employees have the option to pay the par value of the common stock and settle payroll withholding taxes in shares of common stock they would otherwise be receiving resulting in a net share settlement.</w:t>
      </w:r>
    </w:p>
    <w:p>
      <w:pPr>
        <w:spacing w:after="0" w:line="2" w:lineRule="exact"/>
        <w:rPr>
          <w:rFonts w:ascii="Arial" w:cs="Arial" w:eastAsia="Arial" w:hAnsi="Arial"/>
          <w:sz w:val="18"/>
          <w:szCs w:val="18"/>
          <w:color w:val="auto"/>
        </w:rPr>
      </w:pPr>
    </w:p>
    <w:p>
      <w:pPr>
        <w:jc w:val="both"/>
        <w:ind w:left="580" w:hanging="248"/>
        <w:spacing w:after="0" w:line="281"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January 2017, we awarded approximately 60 thousand RSUs to each of our non-employee directors. Such awards vested 25% at the end of each calendar quarter during 2017. In January 2018, these awards were distributed and they were exchanged into 214 thousand shares of our common stock while 24 thousand RSUs were settled in cash. There were also 24 thousand RSUs exchanged into common stock from prior year awards.</w:t>
      </w:r>
    </w:p>
    <w:p>
      <w:pPr>
        <w:spacing w:after="0" w:line="2" w:lineRule="exact"/>
        <w:rPr>
          <w:rFonts w:ascii="Arial" w:cs="Arial" w:eastAsia="Arial" w:hAnsi="Arial"/>
          <w:sz w:val="16"/>
          <w:szCs w:val="16"/>
          <w:color w:val="auto"/>
        </w:rPr>
      </w:pPr>
    </w:p>
    <w:p>
      <w:pPr>
        <w:ind w:left="580" w:hanging="248"/>
        <w:spacing w:after="0" w:line="281"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January 2018, we awarded approximately 67 thousand RSUs to each of our non-employee directors. Such awards vested 25% at the end of each calendar quarter during 2018. In January 2019, these awards were distributed and they were exchanged into 267 shares of our common stock.</w:t>
      </w:r>
    </w:p>
    <w:p>
      <w:pPr>
        <w:spacing w:after="0" w:line="1" w:lineRule="exact"/>
        <w:rPr>
          <w:rFonts w:ascii="Arial" w:cs="Arial" w:eastAsia="Arial" w:hAnsi="Arial"/>
          <w:sz w:val="16"/>
          <w:szCs w:val="16"/>
          <w:color w:val="auto"/>
        </w:rPr>
      </w:pPr>
    </w:p>
    <w:p>
      <w:pPr>
        <w:jc w:val="both"/>
        <w:ind w:left="580" w:hanging="248"/>
        <w:spacing w:after="0" w:line="25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December 2018, we awarded 492 thousand RSUs to employees and such RSU awards will vested in full on December 31, 2019. Distribution of these awards and the exchange into common stock will occur in one third amounts on each of January 1, 2021, 2022 and 2023. The employees have the option to pay the par value of the common stock and settle payroll withholding taxes in shares of common stock they would otherwise be receiving resulting in a net share settlement.</w:t>
      </w:r>
    </w:p>
    <w:p>
      <w:pPr>
        <w:spacing w:after="0" w:line="1" w:lineRule="exact"/>
        <w:rPr>
          <w:rFonts w:ascii="Arial" w:cs="Arial" w:eastAsia="Arial" w:hAnsi="Arial"/>
          <w:sz w:val="18"/>
          <w:szCs w:val="18"/>
          <w:color w:val="auto"/>
        </w:rPr>
      </w:pPr>
    </w:p>
    <w:p>
      <w:pPr>
        <w:jc w:val="both"/>
        <w:ind w:left="580" w:hanging="248"/>
        <w:spacing w:after="0" w:line="255"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January 2019, we awarded approximately 83 thousand RSUs to each of our non-employee directors. Such awards vest 25% at the end of each calendar quarter during 2019. These awards will be distributed and exchanged into common stock will occur in one third amounts on each of January 2020 and up to 40% of the award can be settled in cash.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$171.8 million gross Federal NOLs at December 31, 2018 (of which approximately $167.7 million were generated prior to 2018). Because we believe the ability for us to use these NOLs generated prior to January 1, 2018 to offset any future taxable income is severely limited as prescribed under Internal Revenue Code (“IRC”) Section 382, we had estimated and recorded an amount for the likely limitation to our deferred tax asset in the fourth quarter of 2017, thereby reducing the aggregate estimated benefit of the Federal NOLs available to us of approximately $1.0 million at December 31, 2017. We believe the gross Federal NOL benefit we generated prior to January 1, 2018 to offset taxable income is less than $150 thousand annually. As prescribed under Internal Revenue Code, any unused Federal NOL benefit from the annual limitation can be accumulated and carried forward to the subsequent year and will expire if not used in accordance with the NOL carried forward term of 20 years or 2037, if generated before 2018 and Federal NOLs generated after 2017 can be carried forward indefinitely. Future common stock transactions, such as the exercise of common stock purchase warrants or the conversion of debt into common stock, may cause another qualifying event under IRC 382 which may further limit our utilization of our NOLs (See Subsequent Event - Note 16).</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March 31, 2019 and December 31, 2018, all our remaining net deferred income tax assets were offset by a valuation allowance due to uncertainties with respect to future utilization of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NET LOSS PER SHARE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Basic EPS is computed by dividing net income or loss by the weighted average common shares outstanding during a period, including shares weighted related to vested Restricted Stock Units (“RSUs”) (See Note 12).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2019 or 2018 as the Company reported a net loss for the three month periods, and including the effects of the common stock equivalents in the diluted EPS calculations would have been antidilutive. The weighted-average common shares outstanding diluted computation is not impacted during any period where the exercise price of a stock option or common stock warrant is greater than the average market price.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w:t>
      </w: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540"/>
              <w:spacing w:after="0"/>
              <w:rPr>
                <w:sz w:val="20"/>
                <w:szCs w:val="20"/>
                <w:color w:val="auto"/>
              </w:rPr>
            </w:pPr>
            <w:r>
              <w:rPr>
                <w:rFonts w:ascii="Arial" w:cs="Arial" w:eastAsia="Arial" w:hAnsi="Arial"/>
                <w:sz w:val="18"/>
                <w:szCs w:val="18"/>
                <w:color w:val="auto"/>
              </w:rPr>
              <w:t>Three months Ended</w:t>
            </w:r>
          </w:p>
        </w:tc>
      </w:tr>
      <w:tr>
        <w:trPr>
          <w:trHeight w:val="230"/>
        </w:trPr>
        <w:tc>
          <w:tcPr>
            <w:tcW w:w="5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r>
      <w:tr>
        <w:trPr>
          <w:trHeight w:val="250"/>
        </w:trPr>
        <w:tc>
          <w:tcPr>
            <w:tcW w:w="5880" w:type="dxa"/>
            <w:vAlign w:val="bottom"/>
          </w:tcPr>
          <w:p>
            <w:pPr>
              <w:spacing w:after="0"/>
              <w:rPr>
                <w:sz w:val="21"/>
                <w:szCs w:val="21"/>
                <w:color w:val="auto"/>
              </w:rPr>
            </w:pPr>
          </w:p>
        </w:tc>
        <w:tc>
          <w:tcPr>
            <w:tcW w:w="2660" w:type="dxa"/>
            <w:vAlign w:val="bottom"/>
            <w:gridSpan w:val="6"/>
          </w:tcPr>
          <w:p>
            <w:pPr>
              <w:spacing w:after="0"/>
              <w:rPr>
                <w:sz w:val="20"/>
                <w:szCs w:val="20"/>
                <w:color w:val="auto"/>
              </w:rPr>
            </w:pPr>
            <w:r>
              <w:rPr>
                <w:rFonts w:ascii="Arial" w:cs="Arial" w:eastAsia="Arial" w:hAnsi="Arial"/>
                <w:sz w:val="18"/>
                <w:szCs w:val="18"/>
                <w:color w:val="auto"/>
                <w:w w:val="90"/>
              </w:rPr>
              <w:t>(in thousands except per share data)</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EPS – basic and diluted</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ind w:left="160"/>
              <w:spacing w:after="0"/>
              <w:rPr>
                <w:sz w:val="20"/>
                <w:szCs w:val="20"/>
                <w:color w:val="auto"/>
              </w:rPr>
            </w:pPr>
            <w:r>
              <w:rPr>
                <w:rFonts w:ascii="Arial" w:cs="Arial" w:eastAsia="Arial" w:hAnsi="Arial"/>
                <w:sz w:val="18"/>
                <w:szCs w:val="18"/>
                <w:color w:val="auto"/>
              </w:rPr>
              <w:t>Numerator: net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(788)</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(1,494)</w:t>
            </w:r>
          </w:p>
        </w:tc>
      </w:tr>
      <w:tr>
        <w:trPr>
          <w:trHeight w:val="216"/>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Common shares</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21,300</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21,033</w:t>
            </w:r>
          </w:p>
        </w:tc>
      </w:tr>
      <w:tr>
        <w:trPr>
          <w:trHeight w:val="230"/>
        </w:trPr>
        <w:tc>
          <w:tcPr>
            <w:tcW w:w="5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RSUs – vested</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8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21,493</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21,034</w:t>
            </w:r>
          </w:p>
        </w:tc>
        <w:tc>
          <w:tcPr>
            <w:tcW w:w="80" w:type="dxa"/>
            <w:vAlign w:val="bottom"/>
            <w:tcBorders>
              <w:bottom w:val="single" w:sz="8" w:color="CCEEFF"/>
            </w:tcBorders>
          </w:tcPr>
          <w:p>
            <w:pPr>
              <w:spacing w:after="0"/>
              <w:rPr>
                <w:sz w:val="18"/>
                <w:szCs w:val="18"/>
                <w:color w:val="auto"/>
              </w:rPr>
            </w:pPr>
          </w:p>
        </w:tc>
      </w:tr>
      <w:tr>
        <w:trPr>
          <w:trHeight w:val="210"/>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EPS – basic and diluted</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Excluded securities: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issuable: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80" w:type="dxa"/>
            <w:vAlign w:val="bottom"/>
          </w:tcPr>
          <w:p>
            <w:pPr>
              <w:ind w:left="320"/>
              <w:spacing w:after="0"/>
              <w:rPr>
                <w:sz w:val="20"/>
                <w:szCs w:val="20"/>
                <w:color w:val="auto"/>
              </w:rPr>
            </w:pPr>
            <w:r>
              <w:rPr>
                <w:rFonts w:ascii="Arial" w:cs="Arial" w:eastAsia="Arial" w:hAnsi="Arial"/>
                <w:sz w:val="18"/>
                <w:szCs w:val="18"/>
                <w:color w:val="auto"/>
              </w:rPr>
              <w:t>RSUs – nonvested</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742</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401</w:t>
            </w:r>
          </w:p>
        </w:tc>
      </w:tr>
      <w:tr>
        <w:trPr>
          <w:trHeight w:val="216"/>
        </w:trPr>
        <w:tc>
          <w:tcPr>
            <w:tcW w:w="5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options – vested and nonvested</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w:t>
            </w:r>
          </w:p>
        </w:tc>
      </w:tr>
      <w:tr>
        <w:trPr>
          <w:trHeight w:val="230"/>
        </w:trPr>
        <w:tc>
          <w:tcPr>
            <w:tcW w:w="5880" w:type="dxa"/>
            <w:vAlign w:val="bottom"/>
          </w:tcPr>
          <w:p>
            <w:pPr>
              <w:ind w:left="320"/>
              <w:spacing w:after="0"/>
              <w:rPr>
                <w:sz w:val="20"/>
                <w:szCs w:val="20"/>
                <w:color w:val="auto"/>
              </w:rPr>
            </w:pPr>
            <w:r>
              <w:rPr>
                <w:rFonts w:ascii="Arial" w:cs="Arial" w:eastAsia="Arial" w:hAnsi="Arial"/>
                <w:sz w:val="18"/>
                <w:szCs w:val="18"/>
                <w:color w:val="auto"/>
              </w:rPr>
              <w:t>Common stock warrants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1,842</w:t>
            </w:r>
          </w:p>
        </w:tc>
      </w:tr>
      <w:tr>
        <w:trPr>
          <w:trHeight w:val="210"/>
        </w:trPr>
        <w:tc>
          <w:tcPr>
            <w:tcW w:w="58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excluded potentially dilutive shares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was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we were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8"/>
          <w:szCs w:val="18"/>
          <w:color w:val="auto"/>
        </w:rPr>
        <w:t>None of the plaintiffs in the lawsuits filed to date have confirmed that they ingested any of the generic metoclopramide manufactured by us. We discontinued manufacture and distribution of generic metoclopramide more than 20 years ago. All of these lawsuits have been effectively dismissed with the exception of less than ten pending Philadelphia cases that we expect will be finally dismissed without the need for any action by us. We expect that the Court will finally dismiss the small number of remaining Pennsylvania-based cases against us with prejudice by the end of the fourth quarter of 2019. Legal fees related to this matter have been covered by our insurance carrier. Based upon the current status and evaluation, we have not accrued for any potential loss related to these matters as of March 31,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 – Loans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April 1, 2019 and through June 27, 2019, we borrowed an aggregate of $250 thousand from Mr. Schutte and issued various promissory notes to him with the same terms and conditions from the previous loans. On June 28, 2019 the aggregate principal of the promissory notes was $5.0 million and the accrued interest was $274 thousand. On June 28, 2019 we borrowed $726 thousand from Mr. Schutte, bringing the aggregate principal of the loans and accrued interest to $6.0 million, and consolidated the loans into a single promissory note with a fixed interest rate of 7.5%, maturity date of July 1, 2023, granted conversion rights into 37.5 million shares of our common stock at a price of $0.16 per share, issued a warrant for 10.0 million common shares having an exercise price of $0.01 per share, and granted a security interest in all of the Company’s assets. The $6.0 million promissory note, the common stock purchase warrant and the security agreement were all assigned and transferred by Mr. Schutte to AD Pharma on June 28, 2019. On July 2, 2019 we received the $726 thousand proceeds of the loan.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 – License, Development and Commercialization Agreement with Abuse Deterrent Pharma, LLC</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28, 2019, we entered into a License, Development and Commercialization Agreement (the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The Agreement grants AD Pharma exclusive commercialization rights in the United States to LTX-03. Financial arrangements include:</w:t>
      </w:r>
    </w:p>
    <w:p>
      <w:pPr>
        <w:spacing w:after="0" w:line="173" w:lineRule="exact"/>
        <w:rPr>
          <w:sz w:val="20"/>
          <w:szCs w:val="20"/>
          <w:color w:val="auto"/>
        </w:rPr>
      </w:pPr>
    </w:p>
    <w:p>
      <w:pPr>
        <w:ind w:left="720" w:right="20" w:hanging="266"/>
        <w:spacing w:after="0" w:line="25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Monthly license payments to Acura by AD Pharma of $350,000 up to the earlier of 18 months or FDA’s acceptance of a New Drug Application (“NDA”) for LTX-03;</w:t>
      </w:r>
    </w:p>
    <w:p>
      <w:pPr>
        <w:spacing w:after="0" w:line="1" w:lineRule="exact"/>
        <w:rPr>
          <w:rFonts w:ascii="Arial" w:cs="Arial" w:eastAsia="Arial" w:hAnsi="Arial"/>
          <w:sz w:val="18"/>
          <w:szCs w:val="18"/>
          <w:color w:val="auto"/>
        </w:rPr>
      </w:pPr>
    </w:p>
    <w:p>
      <w:pPr>
        <w:ind w:left="720" w:hanging="26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Reimbursement by AP Pharma of Acura’s LTX-03 outside development expenses;</w:t>
      </w:r>
    </w:p>
    <w:p>
      <w:pPr>
        <w:spacing w:after="0" w:line="9" w:lineRule="exact"/>
        <w:rPr>
          <w:rFonts w:ascii="Arial" w:cs="Arial" w:eastAsia="Arial" w:hAnsi="Arial"/>
          <w:sz w:val="18"/>
          <w:szCs w:val="18"/>
          <w:color w:val="auto"/>
        </w:rPr>
      </w:pPr>
    </w:p>
    <w:p>
      <w:pPr>
        <w:ind w:left="720" w:hanging="26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commercialization of LTX-03, Acura receives stepped royalties on sales and is eligible for certain sales related milestones; and</w:t>
      </w:r>
    </w:p>
    <w:p>
      <w:pPr>
        <w:spacing w:after="0" w:line="9" w:lineRule="exact"/>
        <w:rPr>
          <w:rFonts w:ascii="Arial" w:cs="Arial" w:eastAsia="Arial" w:hAnsi="Arial"/>
          <w:sz w:val="18"/>
          <w:szCs w:val="18"/>
          <w:color w:val="auto"/>
        </w:rPr>
      </w:pPr>
    </w:p>
    <w:p>
      <w:pPr>
        <w:jc w:val="both"/>
        <w:ind w:left="720" w:hanging="266"/>
        <w:spacing w:after="0" w:line="255"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Acura authorizes MainPointe to assign to AD Pharma the option and the right to add, as an Option Product to the Nexafed® Agreement, a Nexafed® 12-hour dosage (an extended-release pseudoephedrine hydrochloride product utilizing the IMPEDE® Technology in 120mg dosage strength).</w:t>
      </w:r>
    </w:p>
    <w:p>
      <w:pPr>
        <w:spacing w:after="0" w:line="190"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AD Pharma may terminate the Agreement at any time. Additionally, if the NDA for LTX-03 is not accepted by the FDA within 18 months, AD Pharma may terminate the Agreement and take ownership of the intellectual property. On July 2, 2019 we received the first monthly license payment of $350 thousand and have received subsequent monthly license payments in August and September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720" w:hanging="266"/>
        <w:spacing w:after="0" w:line="25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jc w:val="both"/>
        <w:ind w:left="720" w:hanging="266"/>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Arial" w:cs="Arial" w:eastAsia="Arial" w:hAnsi="Arial"/>
          <w:sz w:val="18"/>
          <w:szCs w:val="18"/>
          <w:color w:val="auto"/>
        </w:rPr>
      </w:pPr>
    </w:p>
    <w:p>
      <w:pPr>
        <w:ind w:left="720" w:hanging="26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720" w:hanging="266"/>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deter abuse or overdose will be determined sufficient by the FDA to support approval or labelling describing safety and/or abuse deterrent features;</w:t>
      </w:r>
    </w:p>
    <w:p>
      <w:pPr>
        <w:ind w:left="720" w:hanging="26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9" w:lineRule="exact"/>
        <w:rPr>
          <w:rFonts w:ascii="Arial" w:cs="Arial" w:eastAsia="Arial" w:hAnsi="Arial"/>
          <w:sz w:val="18"/>
          <w:szCs w:val="18"/>
          <w:color w:val="auto"/>
        </w:rPr>
      </w:pPr>
    </w:p>
    <w:p>
      <w:pPr>
        <w:ind w:left="720" w:hanging="266"/>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720" w:hanging="266"/>
        <w:spacing w:after="0"/>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pricing and price discounting that may be offered by Zyla Life Sciences’ or Zyla (formerly known as Egalet Corporation) for Oxaydo;</w:t>
      </w:r>
    </w:p>
    <w:p>
      <w:pPr>
        <w:spacing w:after="0" w:line="20" w:lineRule="exact"/>
        <w:rPr>
          <w:rFonts w:ascii="Arial" w:cs="Arial" w:eastAsia="Arial" w:hAnsi="Arial"/>
          <w:sz w:val="17"/>
          <w:szCs w:val="17"/>
          <w:color w:val="auto"/>
        </w:rPr>
      </w:pPr>
    </w:p>
    <w:p>
      <w:pPr>
        <w:ind w:left="720" w:hanging="26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9" w:lineRule="exact"/>
        <w:rPr>
          <w:rFonts w:ascii="Arial" w:cs="Arial" w:eastAsia="Arial" w:hAnsi="Arial"/>
          <w:sz w:val="18"/>
          <w:szCs w:val="18"/>
          <w:color w:val="auto"/>
        </w:rPr>
      </w:pPr>
    </w:p>
    <w:p>
      <w:pPr>
        <w:ind w:left="720" w:hanging="26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or 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720" w:hanging="26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720" w:hanging="26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720" w:hanging="26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720" w:hanging="26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720" w:hanging="26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9" w:lineRule="exact"/>
        <w:rPr>
          <w:rFonts w:ascii="Arial" w:cs="Arial" w:eastAsia="Arial" w:hAnsi="Arial"/>
          <w:sz w:val="18"/>
          <w:szCs w:val="18"/>
          <w:color w:val="auto"/>
        </w:rPr>
      </w:pPr>
    </w:p>
    <w:p>
      <w:pPr>
        <w:ind w:left="720" w:hanging="26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720" w:hanging="266"/>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720" w:hanging="26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FDA will agree with or accept the results of our studies for our product candidates;</w:t>
      </w:r>
    </w:p>
    <w:p>
      <w:pPr>
        <w:spacing w:after="0" w:line="9" w:lineRule="exact"/>
        <w:rPr>
          <w:rFonts w:ascii="Arial" w:cs="Arial" w:eastAsia="Arial" w:hAnsi="Arial"/>
          <w:sz w:val="18"/>
          <w:szCs w:val="18"/>
          <w:color w:val="auto"/>
        </w:rPr>
      </w:pPr>
    </w:p>
    <w:p>
      <w:pPr>
        <w:jc w:val="both"/>
        <w:ind w:left="720" w:hanging="266"/>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720" w:hanging="266"/>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720" w:hanging="26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720" w:hanging="26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720" w:hanging="26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720" w:hanging="26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720" w:hanging="266"/>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technologies; and</w:t>
      </w:r>
    </w:p>
    <w:p>
      <w:pPr>
        <w:ind w:left="720" w:hanging="266"/>
        <w:spacing w:after="0" w:line="261"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some cases, you can identify forward-looking statements by terms such as “anticipate,” “believe,” “continue,” “could,” “estimate,” “expect,” “indicate,” “intend,” “look forward to,” “may,” “plan,” “potential,” “predict,” “project,” “should,” “suggest,” “target,” “will,” “would” and similar expressions intended to identify forward-looking statements. These statements reflect our current views with respect to future events and are based on assumptions and subject to known and unknown risks and uncertainties. Given these uncertainties, you should not place undue reliance on these forward-looking statements. We discuss many of these risks in greater detail in our 2018 Annual Report on Form 10-K as filed with the U.S. Securities and Exchange Commission and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opioid overdose, our Aversion® Technology is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 On January 7, 2015, we entered into a Collaboration and License Agreement with Zyla US, Inc. and Zyla Ltd., each a subsidiary of Zyla Corporation, or collectively Zyla, pursuant to which we exclusively licensed to Zyla worldwide rights to manufacture and commercialize Oxaydo. Oxaydo is currently approved by the U. S. Food and Drug Administration, or FDA, for marketing in the United States in 5mg and 7.5mg strengths. Zyla launched Oxaydo in the United States late in the third quarter of 2015. We are not actively developing product candidates utilizing our Aversion Technology.</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launched our first Impede Technology product, Nexafed, into the United States market in December 2012 and launched our Nexafed Sinus Pressure + Pain product in the United States in February 2015.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 MainPointe is controlled by John Schutte, (Mr. Schutte), who became our largest shareholder pursuant to a private placement completed in July 2017.</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third abuse deterrent technology, Limitx, is designed to retard the release of active drug ingredients when too many tablets are accidentally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Studies AP-LTX-400, or Study 400, and Study AP-LTX-401, or Study 401, both utilizing our LTX-04 hydromorphone formulation demonstrated the mean maximum drug concentration in blood, or Cmax, was reduced in healthy adult fasted subjects by 50% to 65% when excessive buffer levels were ingested or a situation consistent with over-ingestion of tablets. Study AP-LTX-301, or Study 301 demonstrated drug Cmax from LTX-03, a Limitx hydrocodone bitartrate and acetaminophen combination product, in healthy adult fasted subjects trended toward bioequivalence in test formulations A through E and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The FDA designated the development program for LTX-04 as Fast Track, which is designed to facilitate the development, and expedite the review of drugs to treat serious conditions and fill an unmet medical need. However, we intend to advance LTX-03, which combines the hydrocodone micro-particles, acetaminophen and buffer ingredients into a single tablet, as our lead Limitx product candidate due to its larger market size and its known prevalence of oral excessive tablet abuse and overdose, and we voluntarily placed the Investigational New Drug Application, or IND, for LTX-04 on inactive status. We submitted an IND for LTX-03 to the FDA in the first quarter of 2018 in order to advance to NDA development, which became effective in April 2018.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7"/>
          <w:szCs w:val="17"/>
          <w:color w:val="auto"/>
        </w:rPr>
        <w:t>On June 28, 2019, we entered into License, Development and Commercialization Agreement with Abuse Deterrent Pharma, LLC, a Kentucky limited liability company (“AD Pharma”), a special purpose company representing a consortium of investors that will finance Acura’s operations and completion of development of LTX-03. The Agreement grants AD Pharma exclusive commercialization rights in the United States to LTX-03.</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According to the 2017 CDC Drug Surveillance Report, opioid analgesics are one of the largest prescription drug markets in the United States with 214 million prescriptions dispensed in 2016. Prescription opioids are also the most widely abused drugs with 12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2016, sales in the immediate-release opioid product segment were approximately 194 million prescriptions, of which approximately 95% was attributable to generic products with no known safety features. Immediate-release oxycodone tablets represent approximately 30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CDC also reported approximately 45,000 suicide deaths in the U.S. in 2016 with poisoning being the third most prevalent route of suicide. Suicides have increased 30% in the U.S. since 1999. More than 54% of suicides had no prior indication of mental health issues. We believe a significant portion of these intentional poisonings included opioid analgesics which are known to induce respiratory depression related to overdose. An analysis of forensic data associated with hydrocodone overdose deaths suggests a median dose of sixteen 10mg hydrocodone tablets was measured in the bloodstream.</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20167 to 774,000 people up from 440,000 people in 2012. As of March 16, 2017, sales of Nexafed and Nexafed Sinus are covered under the MainPointe Agreement, for which we receive a royalty.</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Prescription Opioid Products and Development of Abuse Deterrent Formulations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Abusers will often manipulate or tamper with the formulations to achieve their high, including:</w:t>
      </w:r>
    </w:p>
    <w:p>
      <w:pPr>
        <w:spacing w:after="0" w:line="188" w:lineRule="exact"/>
        <w:rPr>
          <w:sz w:val="20"/>
          <w:szCs w:val="20"/>
          <w:color w:val="auto"/>
        </w:rPr>
      </w:pPr>
    </w:p>
    <w:p>
      <w:pPr>
        <w:ind w:left="720" w:hanging="266"/>
        <w:spacing w:after="0" w:line="258"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1" w:lineRule="exact"/>
        <w:rPr>
          <w:rFonts w:ascii="Arial" w:cs="Arial" w:eastAsia="Arial" w:hAnsi="Arial"/>
          <w:sz w:val="18"/>
          <w:szCs w:val="18"/>
          <w:color w:val="auto"/>
        </w:rPr>
      </w:pPr>
    </w:p>
    <w:p>
      <w:pPr>
        <w:ind w:left="720" w:hanging="266"/>
        <w:spacing w:after="0" w:line="265"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ind w:left="720" w:hanging="26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9" w:lineRule="exact"/>
        <w:rPr>
          <w:rFonts w:ascii="Arial" w:cs="Arial" w:eastAsia="Arial" w:hAnsi="Arial"/>
          <w:sz w:val="18"/>
          <w:szCs w:val="18"/>
          <w:color w:val="auto"/>
        </w:rPr>
      </w:pPr>
    </w:p>
    <w:p>
      <w:pPr>
        <w:ind w:left="720" w:hanging="26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9" w:lineRule="exact"/>
        <w:rPr>
          <w:rFonts w:ascii="Arial" w:cs="Arial" w:eastAsia="Arial" w:hAnsi="Arial"/>
          <w:sz w:val="18"/>
          <w:szCs w:val="18"/>
          <w:color w:val="auto"/>
        </w:rPr>
      </w:pPr>
    </w:p>
    <w:p>
      <w:pPr>
        <w:ind w:left="720" w:hanging="26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methamphetamine, or other drugs to accentuate the high.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Abuse deterrent formulations of opioid dosages incorporate physical and/or chemical barriers or functionality in the formulations to prevent or discourage an abuser from inappropriately administering the product. The extent and manner in which any of the features of abuse deterrent opioids may be described in the FDA approved label for our pipeline products will be dependent on the results of and the acceptance by the FDA of our and our licensees’ studies for each product.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Development of our abuse deterrent products, such our Aversion (if recommenced) product candidates, will require one or more abuse deterrent studies consistent with the FDA 2015 published guidance for industry on the evaluation and labeling of abuse-deterrent opioids (the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our product candidates to currently marketed products. Because our products use known active ingredients in approved dosage strengths, the safety and efficacy of the opioid will need to be established by a series of pharmacokinetic studies demonstrating: (a) bioequivalence to an approved reference drug, (b) food effect of our formulations, and (c) dose proportionality of our formulation. A product candidate that does not achieve satisfactory pharmacokinetic results may require a phase III clinical pain study.</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Overdose Minimized Opioid Products and Development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known and FDA labelled side effect of the overdose of opioids is respiratory depression. High doses of opioids can affect the respiratory center of the brain resulting in a slowing and/or shallowing of the breathing which increases carbon dioxide (CO2) in the blood stream. Opioids also impact ancillary CO2 monitoring of the blood preventing the body from taking corrective action. The increased CO2 and resulting decrease in oxygen in the blood systematically shuts down body systems and may result in death.</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Abusers as well as legitimate pain patients are at risk of overdose. In some cases, overdose is accidental but anecdotal reports indicate suicide rates among pain patient are increasing presumably due to their inability to access the pain medications they need to manage their condition.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2019, FDA issued a draft for public comment guidance on a Benefit-Risk Assessment Framework for Opioid Analgesic Drugs. The guidance indicates FDA will “consider the public health risks of the [opioid] drug related to misuse, abuse, opioid use disorder, accidental exposure, and overdose in both patients and nonpatients, as well as any properties of the drug that may mitigate such risks”. We intend to develop our Limitx Technology products consistent with this pending guidance and perform studies to demonstrate our drug candidates have properties to mitigate the risk of overdose. Further development will likely also entail additional safety and/or efficacy assessment as may be identified by the FDA for each specific formulation during the Investigational New Drug application, or IND, or NDA phase of development.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Limitx Technology is intended to address the accidental or intentional consumption of multiple tablets and provide a margin of safety against respiratory depression. We believe these benefits for opioids are consistent with FDA’s proposed direction to require all newly approved opioid products to have features of benefits that provide safety or efficacy benefits over existing available opioid therapies.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products in development utilizing our Limitx Technology: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6300" w:type="dxa"/>
            <w:vAlign w:val="bottom"/>
            <w:tcBorders>
              <w:top w:val="single" w:sz="8" w:color="auto"/>
              <w:left w:val="single" w:sz="8" w:color="auto"/>
              <w:bottom w:val="single" w:sz="8" w:color="auto"/>
              <w:right w:val="single" w:sz="8" w:color="auto"/>
            </w:tcBorders>
          </w:tcPr>
          <w:p>
            <w:pPr>
              <w:ind w:left="2080"/>
              <w:spacing w:after="0"/>
              <w:rPr>
                <w:sz w:val="20"/>
                <w:szCs w:val="20"/>
                <w:color w:val="auto"/>
              </w:rPr>
            </w:pPr>
            <w:r>
              <w:rPr>
                <w:rFonts w:ascii="Arial" w:cs="Arial" w:eastAsia="Arial" w:hAnsi="Arial"/>
                <w:sz w:val="18"/>
                <w:szCs w:val="18"/>
                <w:b w:val="1"/>
                <w:bCs w:val="1"/>
                <w:color w:val="auto"/>
              </w:rPr>
              <w:t>Limitx Technology Products</w:t>
            </w:r>
          </w:p>
        </w:tc>
        <w:tc>
          <w:tcPr>
            <w:tcW w:w="5120" w:type="dxa"/>
            <w:vAlign w:val="bottom"/>
            <w:tcBorders>
              <w:top w:val="single" w:sz="8" w:color="auto"/>
              <w:bottom w:val="single" w:sz="8" w:color="auto"/>
              <w:right w:val="single" w:sz="8" w:color="auto"/>
            </w:tcBorders>
          </w:tcPr>
          <w:p>
            <w:pPr>
              <w:ind w:left="2340"/>
              <w:spacing w:after="0"/>
              <w:rPr>
                <w:sz w:val="20"/>
                <w:szCs w:val="20"/>
                <w:color w:val="auto"/>
              </w:rPr>
            </w:pPr>
            <w:r>
              <w:rPr>
                <w:rFonts w:ascii="Arial" w:cs="Arial" w:eastAsia="Arial" w:hAnsi="Arial"/>
                <w:sz w:val="18"/>
                <w:szCs w:val="18"/>
                <w:b w:val="1"/>
                <w:bCs w:val="1"/>
                <w:color w:val="auto"/>
              </w:rPr>
              <w:t>Status</w:t>
            </w:r>
          </w:p>
        </w:tc>
      </w:tr>
      <w:tr>
        <w:trPr>
          <w:trHeight w:val="291"/>
        </w:trPr>
        <w:tc>
          <w:tcPr>
            <w:tcW w:w="630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Immediate-release hydrocodone bitartrate with acetaminophen (LTX-03)</w:t>
            </w:r>
          </w:p>
        </w:tc>
        <w:tc>
          <w:tcPr>
            <w:tcW w:w="51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Initial buffer dose ranging study completed October 2017</w:t>
            </w:r>
          </w:p>
        </w:tc>
      </w:tr>
      <w:tr>
        <w:trPr>
          <w:trHeight w:val="432"/>
        </w:trPr>
        <w:tc>
          <w:tcPr>
            <w:tcW w:w="6300" w:type="dxa"/>
            <w:vAlign w:val="bottom"/>
            <w:tcBorders>
              <w:left w:val="single" w:sz="8" w:color="auto"/>
              <w:right w:val="single" w:sz="8" w:color="auto"/>
            </w:tcBorders>
            <w:shd w:val="clear" w:color="auto" w:fill="CCEEFF"/>
          </w:tcPr>
          <w:p>
            <w:pPr>
              <w:spacing w:after="0"/>
              <w:rPr>
                <w:sz w:val="24"/>
                <w:szCs w:val="24"/>
                <w:color w:val="auto"/>
              </w:rPr>
            </w:pPr>
          </w:p>
        </w:tc>
        <w:tc>
          <w:tcPr>
            <w:tcW w:w="51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Follow on dose ranging study completed in January 2018</w:t>
            </w:r>
          </w:p>
        </w:tc>
      </w:tr>
      <w:tr>
        <w:trPr>
          <w:trHeight w:val="432"/>
        </w:trPr>
        <w:tc>
          <w:tcPr>
            <w:tcW w:w="630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51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Manufacturing scale-up initiated</w:t>
            </w:r>
          </w:p>
        </w:tc>
      </w:tr>
      <w:tr>
        <w:trPr>
          <w:trHeight w:val="291"/>
        </w:trPr>
        <w:tc>
          <w:tcPr>
            <w:tcW w:w="63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Immediate-release oxycodone HCl (LTX-01) &amp; (LTX-02)</w:t>
            </w:r>
          </w:p>
        </w:tc>
        <w:tc>
          <w:tcPr>
            <w:tcW w:w="51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Formulation development in process</w:t>
            </w:r>
          </w:p>
        </w:tc>
      </w:tr>
      <w:tr>
        <w:trPr>
          <w:trHeight w:val="291"/>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Immediate-release non-opioid drug (LTX-09)</w:t>
            </w:r>
          </w:p>
        </w:tc>
        <w:tc>
          <w:tcPr>
            <w:tcW w:w="5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Formulation development in process</w:t>
            </w:r>
          </w:p>
        </w:tc>
      </w:tr>
      <w:tr>
        <w:trPr>
          <w:trHeight w:val="276"/>
        </w:trPr>
        <w:tc>
          <w:tcPr>
            <w:tcW w:w="630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Immediate-release hydromorphone HCI (LTX-04)</w:t>
            </w:r>
          </w:p>
        </w:tc>
        <w:tc>
          <w:tcPr>
            <w:tcW w:w="51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2"/>
              </w:rPr>
              <w:t>Two Phase I exploratory pharmacokinetic studies completed. IND no</w:t>
            </w:r>
          </w:p>
        </w:tc>
      </w:tr>
      <w:tr>
        <w:trPr>
          <w:trHeight w:val="230"/>
        </w:trPr>
        <w:tc>
          <w:tcPr>
            <w:tcW w:w="630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1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longer active.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-1482725</wp:posOffset>
            </wp:positionV>
            <wp:extent cx="7237730" cy="746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7730" cy="746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237730" cy="53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7730" cy="5314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400</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Study 400 was a two cohort, open label, crossover design pharmacokinetic study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 A safety assessment of Limitx Hydromorphone will be made from both study cohorts.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topline results from Study 400 demonstrated that a single tablet dose delivered a Cmax of 45% and 50% lower than the reference drug for LTX-04S and LTX-04P, respectively. For an 8 tablet dose, the Cmax for LTX-04P was 59% lower than the reference drug. Doses between 1 and 8 tablets had similar reduction in Cmax compared to the reference. The extent of drug absorption, measure by area under the curve (AUC) was consistent between the Limitx products and the reference.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Cmax when three or more LTX-04 tablets were ingested. The FDA’s advice also identified longer term studies necessary for submitting a NDA for LTX-04, including in vitro extraction studies, drug interaction studies, additional pharmacokinetic studies assessing the impact of food and beverages, and a category 3 abuse liability study.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Study 401</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Study 401, completed in June 2017, also was a two cohort, open label, crossover design pharmacokinetic study in fasted, health adult subjects. Study 401 utilized a modified LTX-04 formulation containing micro-particles intended to improve drug delivery with one and two tablet dosing (LTX-04P3). Study 401 measured the rate and extent of absorption of the active drug ingredient into the blood stream with the Cmax typically associated with an increase in drug abuse. 27 subjects completed Cohort 1 swallowing a single dose tablet of LTX-04 compared to a generic hydromorphone tablet. 13 subjects completed Cohort 2 swallowing 7 LTX-04 and generic tablets doses. 15 subjects followed an undisclosed, exploratory protocol.</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tablets contained 2 mg of hydromorphone hydrochloride. All subjects received dosages of naltrexone and/or naloxone and there was a one week washout between dosages. Blood samples were taken at pre-designated time-points after dosing and were subsequently analyzed for the concentration of hydromorphone contained in the sample. The objective of Cohort 1 was to determine if adequate active drug entered the bloodstream when one Limitx tablet was swallowed. The objective of Cohort 2 was to explore the extent to which the release of the hydromorphone active ingredient from LTX-04 tablets is retarded at a seven tablet dose (oral excess abuse levels). A safety assessment of Limitx hydromorphone would be made from both study cohorts.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topline results from Study 401 demonstrated that Cmax for a one tablet LTX-04P3 dose was approximately 50% less than the active comparator. The Cmax for the 7 tablet LTX-04P3 dose was 65% below the comparator. Study 401 also included a 7 tablet dose of LTX-04P3 taken simultaneously with an agent known to increase gastric emptying time (i.e. increase retention time of the ingredients in the stomach) which demonstrated an increase in Tmax (time of Cmax) of over 1 hour compared to LTX-04P3 taken without this agent. Since the micro-particles used in Study 401 release drug much faster than the micro-particles used in Study 400, we have concluded that the buffer levels used in both studies were excessive and is retarding the release of drug even with a single dose. Also, given that manipulating the duration of stomach acidity with a gastric emptying agent produced a significant increase in Tmax which is indicative of a delayed release of drug from LTX-04P3, we concluded the Limitx micro-particles are working as designed in that when we neutralize the stomach acid we are slowing the release of drug and subsequent absorption of drug into the blood stream.</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results from Study 400 and 401 indicate the micro-particle are working as designed but that we used too much buffer for even a single tablet and did not achieve full release of the drug at a 1 tablet dose.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301</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Study 301 was an open-label, parallel design pharmacokinetic study testing our LIMITx formulation LTX-03 in 72 fasted healthy adult subjects randomized into 9 groups (8 subjects per group). One group swallowed a single Norco® 10/325mg tablet, the marketed comparator or reference drug. The remaining 8 groups swallowed a single LTX-03 tablet with increasing buffering amounts starting with no buffer, LTX-03 formulations A through H, respectively. All 72 subjects completed the study and the doses were generally well tolerated with no serious adverse events. One subject in the Formulation E group was not analyzed due to emesis. LTX-03 is a combination of hydrocodone bitartrate and acetaminophen.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Study 301 bioequivalence (BE) was examined to generate information for future registration studies. Results demonstrated a trend toward BE for both active ingredients in LTX-03 formulations A through E. Formulation E had BE ratios (log transformed) for hydrocodone of 0.89 and 0.97 for Cmax and Area Under the Curve (AUC), respectively. In this small sample size study both hydrocodone BE confidence intervals were below the acceptable lower BE range of 0.80 at 0.74 and 0.79 for Cmax and AUC, respectively. For acetaminophen, Formulation E’s BE Ratios were 1.15 and 1.03 for Cmax and AUC, respectively. While the acetaminophen AUC’s met the BE standards, the Cmax upper confidence interval of 1.61 was above the acceptable upper BE range of 1.25. We believe that bioequivalence of this formulation may be achieved by reducing data variability that can be achieved through an adequately powered crossover study design with sufficient numbers of subjects in the study. For LTX-03 Formulations F though H, the higher buffer level tablets, Study 301 demonstrated a progressively increasing reduction in hydrocodone Cmax culminating in a 34% Cmax reduction associated with Formulation H, the highest level evaluated. The Cmax for acetaminophen did not decline in Formulations F through H in Study 301.</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color w:val="auto"/>
        </w:rPr>
        <w:t>We believe that Study 301 identified a formulation that optimizes the balance between providing therapeutic blood levels of drug for pain relief at a single tablet dose while retarding the bioavailability of drug when higher buffer levels are ingested.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intend to advance LTX-03 to clinical development for a New Drug Application (NDA). Therefore, we submitted an Investigational New Drug Application, or IND with respect to LTX-03, to the FDA in the first quarter of 2018, which became effective in April 2018. We are currently conducting the scale-up of the commercial manufacturing process as to-be-marketed formulations are required for all NDA development work. Among other things, we believe we will have to demonstrate a scientific link between Cmax reductions and a reduction in the risk of respiratory depression.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28, 2019 we announced a License, Development and Commercialization Agreement (the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AD Pharma retains commercialization rights from which Acura will receive royalties and potential sales related milestones.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 grants AD Pharma exclusive commercialization rights in the United States to LTX-03. Financial arrangements include monthly license payments by AD Pharma of $350,000 up to the earlier of 18 months or FDA’s acceptance of a New Drug Application (“NDA”) for LTX-03 and reimbursement by AP Pharma of Acura’s LTX-03 outside development expenses. Upon commercialization of LTX-03, Acura receives stepped royalties on sales and is eligible for certain sales related milestones.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 Pharma may terminate the Agreement at any time. Additionally, if the NDA for LTX-03 is not accepted by the FDA within 18 months, AD Pharma may terminate the Agreement and take ownership of the Limitx intellectual property.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In March 2017, we granted MainPointe an exclusive license to our IMPEDE ® Technology to commercialize our Nexafed® and Nexafed® Sinus Pressure + Pain Products in the United States and Canada.</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Mr. Schutte is our largest shareholder and directly owns approximately 47.5% of our common stock (after giving effect to the exercise of warrants he holds).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Schutte also controls MainPointe and is an investor in AD Pharma.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six issued U.S. patents, which expire between November 2023 and March 2025. Our Aversion Technology products are intended to provide the same therapeutic benefits of the active drug ingredient as currently marketed products containing the same active pharmaceutical ingredient.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Zyla pursuant to which we exclusively licensed to Zyla worldwide rights to manufacture and commercialize Oxaydo. Oxaydo is approved in 5mg and 7.5mg strengths. Zyla commenced shipping Oxaydo in the United States in October 2015.</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2017 market for immediate-release oxycodone products was approximately 30 million dispensed prescriptions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720" w:hanging="266"/>
        <w:spacing w:after="0" w:line="25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720" w:hanging="266"/>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subjects taking Oxaydo reported a higher incidence of nasopharyngeal and facial adverse events compared to immediate-release oxycodone;</w:t>
      </w:r>
    </w:p>
    <w:p>
      <w:pPr>
        <w:spacing w:after="0" w:line="20" w:lineRule="exact"/>
        <w:rPr>
          <w:rFonts w:ascii="Arial" w:cs="Arial" w:eastAsia="Arial" w:hAnsi="Arial"/>
          <w:sz w:val="17"/>
          <w:szCs w:val="17"/>
          <w:color w:val="auto"/>
        </w:rPr>
      </w:pPr>
    </w:p>
    <w:p>
      <w:pPr>
        <w:ind w:left="720" w:hanging="266"/>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720" w:hanging="266"/>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small numeric differences in the median and mean drug liking scores, which were lower in response to Oxaydo than immediate-release oxycodone.</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Zyla have a post-approval commitment with the FDA to perform an epidemiology study to assess the actual impact on abuse of Oxaydo tablets.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Zyla Agreement Covering Oxaydo</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7, 2015, we and Egalet US, Inc. and Egalet Ltd., each a subsidiary of Egalet Corporation, now known as Zyla Life Sciences or Zyla, entered into a Collaboration and License Agreement, or the Zyla Agreement, to commercialize Oxaydo tablets containing our Aversion® Technology. Oxaydo is approved by the FDA for marketing in the United States in 5 mg and 7.5 mg strengths. Under the terms of the Zyla Agreement, we transferred the approved NDA for Oxaydo to Zyla and Zyla is granted an exclusive license under our intellectual property rights for development and commercialization of Oxaydo worldwide, or the Territory, in all strengths, subject to our right to co-promote Oxaydo in the United States.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8"/>
          <w:szCs w:val="18"/>
          <w:color w:val="auto"/>
        </w:rPr>
        <w:t>In accordance with the Zyla Agreement, we and Zyla have formed a joint steering committee to oversee commercialization strategies and the development of product line extensions. Zyla will pay a significant portion of the expenses relating to (i) annual NDA PDUFA program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Zyla is responsible for all manufacturing and commercialization activities in the Territory for Oxaydo. Subject to certain exceptions, Zyla will have final decision making authority with respect to all development and commercialization activities for Oxaydo, including pricing, subject to our co-promotion right. Zyla may develop Oxaydo for other countries and in additional strengths, in its discretion.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Zyla paid us an upfront payment of $5.0 million upon signing of the Zyla Agreement and a $2.5 million milestone in October 2015 in connection with the launch of Oxaydo. In addition, we will be entitled to a one-time $12.5 million milestone payment when worldwide Oxaydo net sales reach $150.0 million in a calendar year. In addition, we will receive from Zyla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Zyla’s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Zyla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Zyla Agreement expires upon the expiration of Zyla’s royalty payment obligations in all countries. Either party may terminate the Zyla Agreement in its entirety if the other party breaches a payment obligation, or otherwise materially breaches the Zyla Agreement, subject to applicable cure periods, or in the event the other party makes an assignment for the benefit of creditors, files a petition in bankruptcy or otherwise seeks relief under applicable bankruptcy laws. We also may terminate the Zyla Agreement with respect to the U.S. and other countries if Zyla materially breaches its commercialization obligations. Zyla may terminate the Zyla Agreement for convenience on 120 days prior written notice, which termination may not occur prior to the second anniversary of Zyla’s launch of Oxaydo. Termination does not affect a party’s rights accrued prior thereto, but there are no stated payments in connection with termination other than payments of obligations previously accrued. For all terminations (but not expiration), the Zyla Agreement provides for the transition of development and marketing of Oxaydo from Zyla to us, including the conveyance by Zyla to us of the trademarks and all regulatory filings and approvals relating to Oxaydo, and for Zyla’s supply of Oxaydo for a transition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KemPharm Agreement Covering Opioid Prodrugs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suspended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1.0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Impede 1.0 Technology, a proprietary mixture of inactive ingredients, prevents the extraction of PSE from tablets using known extraction methods and disrupts the direct conversion of PSE from tablets into methamphetamine.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2.0 Technology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previously developed a next generation, or Impede 2.0 Technology to improve the meth-resistance of our technology. We have previously completed one-pot, direct conversion meth testing performed by our CRO on the following commercially available products and on our Nexafed Impede 2.0 extended-release product, with the following results: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tbl>
      <w:tblPr>
        <w:tblLayout w:type="fixed"/>
        <w:tblInd w:w="340" w:type="dxa"/>
        <w:tblCellMar>
          <w:top w:w="0" w:type="dxa"/>
          <w:left w:w="0" w:type="dxa"/>
          <w:bottom w:w="0" w:type="dxa"/>
          <w:right w:w="0" w:type="dxa"/>
        </w:tblCellMar>
      </w:tblPr>
      <w:tr>
        <w:trPr>
          <w:trHeight w:val="220"/>
        </w:trPr>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Meth Resistant</w:t>
            </w:r>
          </w:p>
        </w:tc>
        <w:tc>
          <w:tcPr>
            <w:tcW w:w="1460" w:type="dxa"/>
            <w:vAlign w:val="bottom"/>
            <w:gridSpan w:val="2"/>
          </w:tcPr>
          <w:p>
            <w:pPr>
              <w:jc w:val="right"/>
              <w:ind w:right="590"/>
              <w:spacing w:after="0"/>
              <w:rPr>
                <w:sz w:val="20"/>
                <w:szCs w:val="20"/>
                <w:color w:val="auto"/>
              </w:rPr>
            </w:pPr>
            <w:r>
              <w:rPr>
                <w:rFonts w:ascii="Arial" w:cs="Arial" w:eastAsia="Arial" w:hAnsi="Arial"/>
                <w:sz w:val="18"/>
                <w:szCs w:val="18"/>
                <w:color w:val="auto"/>
              </w:rPr>
              <w:t>Meth</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7"/>
        </w:trPr>
        <w:tc>
          <w:tcPr>
            <w:tcW w:w="6600" w:type="dxa"/>
            <w:vAlign w:val="bottom"/>
            <w:gridSpan w:val="2"/>
          </w:tcPr>
          <w:p>
            <w:pPr>
              <w:spacing w:after="0"/>
              <w:rPr>
                <w:sz w:val="20"/>
                <w:szCs w:val="20"/>
                <w:color w:val="auto"/>
              </w:rPr>
            </w:pPr>
            <w:r>
              <w:rPr>
                <w:rFonts w:ascii="Arial" w:cs="Arial" w:eastAsia="Arial" w:hAnsi="Arial"/>
                <w:sz w:val="18"/>
                <w:szCs w:val="18"/>
                <w:color w:val="auto"/>
              </w:rPr>
              <w:t>Product/Formulation</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Technology</w:t>
            </w:r>
          </w:p>
        </w:tc>
        <w:tc>
          <w:tcPr>
            <w:tcW w:w="1460" w:type="dxa"/>
            <w:vAlign w:val="bottom"/>
            <w:gridSpan w:val="2"/>
          </w:tcPr>
          <w:p>
            <w:pPr>
              <w:jc w:val="right"/>
              <w:ind w:right="390"/>
              <w:spacing w:after="0" w:line="266" w:lineRule="exact"/>
              <w:rPr>
                <w:sz w:val="20"/>
                <w:szCs w:val="20"/>
                <w:color w:val="auto"/>
              </w:rPr>
            </w:pPr>
            <w:r>
              <w:rPr>
                <w:rFonts w:ascii="Arial" w:cs="Arial" w:eastAsia="Arial" w:hAnsi="Arial"/>
                <w:sz w:val="18"/>
                <w:szCs w:val="18"/>
                <w:color w:val="auto"/>
              </w:rPr>
              <w:t>Recovery</w:t>
            </w:r>
            <w:r>
              <w:rPr>
                <w:rFonts w:ascii="Arial" w:cs="Arial" w:eastAsia="Arial" w:hAnsi="Arial"/>
                <w:sz w:val="30"/>
                <w:szCs w:val="30"/>
                <w:color w:val="auto"/>
                <w:vertAlign w:val="superscript"/>
              </w:rPr>
              <w:t>1</w:t>
            </w:r>
          </w:p>
        </w:tc>
        <w:tc>
          <w:tcPr>
            <w:tcW w:w="1340" w:type="dxa"/>
            <w:vAlign w:val="bottom"/>
            <w:gridSpan w:val="2"/>
          </w:tcPr>
          <w:p>
            <w:pPr>
              <w:jc w:val="right"/>
              <w:ind w:right="410"/>
              <w:spacing w:after="0" w:line="266" w:lineRule="exact"/>
              <w:rPr>
                <w:sz w:val="20"/>
                <w:szCs w:val="20"/>
                <w:color w:val="auto"/>
              </w:rPr>
            </w:pPr>
            <w:r>
              <w:rPr>
                <w:rFonts w:ascii="Arial" w:cs="Arial" w:eastAsia="Arial" w:hAnsi="Arial"/>
                <w:sz w:val="18"/>
                <w:szCs w:val="18"/>
                <w:color w:val="auto"/>
              </w:rPr>
              <w:t>Purity</w:t>
            </w:r>
            <w:r>
              <w:rPr>
                <w:rFonts w:ascii="Arial" w:cs="Arial" w:eastAsia="Arial" w:hAnsi="Arial"/>
                <w:sz w:val="30"/>
                <w:szCs w:val="30"/>
                <w:color w:val="auto"/>
                <w:vertAlign w:val="superscript"/>
              </w:rPr>
              <w:t>2</w:t>
            </w:r>
          </w:p>
        </w:tc>
      </w:tr>
      <w:tr>
        <w:trPr>
          <w:trHeight w:val="223"/>
        </w:trPr>
        <w:tc>
          <w:tcPr>
            <w:tcW w:w="6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none</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Nexafed 30mg Technology</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Impede® 1.0</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38%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Tarex®</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Nexafed 120mg Extended-release tablets</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Impede® 2.0</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17%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w:t>
            </w:r>
          </w:p>
        </w:tc>
      </w:tr>
    </w:tbl>
    <w:p>
      <w:pPr>
        <w:spacing w:after="0" w:line="150" w:lineRule="exact"/>
        <w:rPr>
          <w:sz w:val="20"/>
          <w:szCs w:val="20"/>
          <w:color w:val="auto"/>
        </w:rPr>
      </w:pPr>
    </w:p>
    <w:p>
      <w:pPr>
        <w:ind w:left="760" w:hanging="104"/>
        <w:spacing w:after="0"/>
        <w:tabs>
          <w:tab w:leader="none" w:pos="76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Total methamphetamine HCl recovered from the equivalent of 100 PSE 30mg tablets divided by the maximum theoretical yield of 2.7 grams.</w:t>
      </w:r>
    </w:p>
    <w:p>
      <w:pPr>
        <w:spacing w:after="0" w:line="42" w:lineRule="exact"/>
        <w:rPr>
          <w:rFonts w:ascii="Arial" w:cs="Arial" w:eastAsia="Arial" w:hAnsi="Arial"/>
          <w:sz w:val="28"/>
          <w:szCs w:val="28"/>
          <w:color w:val="auto"/>
          <w:vertAlign w:val="superscript"/>
        </w:rPr>
      </w:pPr>
    </w:p>
    <w:p>
      <w:pPr>
        <w:ind w:left="660"/>
        <w:spacing w:after="0"/>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 Total methamphetamine HCl recovered from the equivalent of 100 PSE 30mg tablets divided by the total weight of powder recovered.</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previously demonstrated in a pilot clinical study the bioequivalence of a formulation of our Nexafed extended release tablets utilizing our Impede 2.0 Technology to Sudafed® 12-hour Tablets.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 and the MainPointe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Nexafed and Nexafed Sinus Pressure + Pain, consist of immediate release tablets. Nexafed is a 30mg pseudoephedrine tablet which until the third quarter of 2017 incorporated our patented Impede 1.0 technology and commencing in such quarter incorporated our Impede 2.0 technology. Nexafed Sinus Pressure + Pain is a 30/325mg pseudoephedrine and acetaminophen tablet which incorporates our Nexafed 1.0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 and controls the marketing and sale of our Nexafed products.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plus approximately $425 thousand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(following termination of the Bayer Agreement). ). MainPointe has assigned its option rights to a Nexafed 12-hour formulation to AD Pharma.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 . On June 28, 2019, we granted authority to MainPointe to assign to AD Pharma the option and the right to add, as an Option Product to the Nexafed® Agreement, a Nexafed® 12-hour dosage (an extended- release pseudoephedrine hydrochloride product utilizing the IMPEDE® Technology in 120mg dosage strength) and waived the $500 thousand option fee.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have developed additional products for our Nexafed 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3773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740" w:type="dxa"/>
            <w:vAlign w:val="bottom"/>
            <w:tcBorders>
              <w:top w:val="single" w:sz="8" w:color="auto"/>
              <w:left w:val="single" w:sz="8" w:color="auto"/>
              <w:bottom w:val="single" w:sz="8" w:color="auto"/>
              <w:right w:val="single" w:sz="8" w:color="auto"/>
            </w:tcBorders>
            <w:shd w:val="clear" w:color="auto" w:fill="CCEEFF"/>
          </w:tcPr>
          <w:p>
            <w:pPr>
              <w:ind w:left="1760"/>
              <w:spacing w:after="0"/>
              <w:rPr>
                <w:sz w:val="20"/>
                <w:szCs w:val="20"/>
                <w:color w:val="auto"/>
              </w:rPr>
            </w:pPr>
            <w:r>
              <w:rPr>
                <w:rFonts w:ascii="Arial" w:cs="Arial" w:eastAsia="Arial" w:hAnsi="Arial"/>
                <w:sz w:val="18"/>
                <w:szCs w:val="18"/>
                <w:b w:val="1"/>
                <w:bCs w:val="1"/>
                <w:color w:val="auto"/>
              </w:rPr>
              <w:t>Impede Technology Products</w:t>
            </w:r>
          </w:p>
        </w:tc>
        <w:tc>
          <w:tcPr>
            <w:tcW w:w="5680" w:type="dxa"/>
            <w:vAlign w:val="bottom"/>
            <w:tcBorders>
              <w:top w:val="single" w:sz="8" w:color="auto"/>
              <w:bottom w:val="single" w:sz="8" w:color="auto"/>
              <w:right w:val="single" w:sz="8" w:color="auto"/>
            </w:tcBorders>
            <w:shd w:val="clear" w:color="auto" w:fill="CCEEFF"/>
          </w:tcPr>
          <w:p>
            <w:pPr>
              <w:ind w:left="2640"/>
              <w:spacing w:after="0"/>
              <w:rPr>
                <w:sz w:val="20"/>
                <w:szCs w:val="20"/>
                <w:color w:val="auto"/>
              </w:rPr>
            </w:pPr>
            <w:r>
              <w:rPr>
                <w:rFonts w:ascii="Arial" w:cs="Arial" w:eastAsia="Arial" w:hAnsi="Arial"/>
                <w:sz w:val="18"/>
                <w:szCs w:val="18"/>
                <w:b w:val="1"/>
                <w:bCs w:val="1"/>
                <w:color w:val="auto"/>
              </w:rPr>
              <w:t>Status</w:t>
            </w:r>
          </w:p>
        </w:tc>
      </w:tr>
      <w:tr>
        <w:trPr>
          <w:trHeight w:val="195"/>
        </w:trPr>
        <w:tc>
          <w:tcPr>
            <w:tcW w:w="5740" w:type="dxa"/>
            <w:vAlign w:val="bottom"/>
            <w:tcBorders>
              <w:left w:val="single" w:sz="8" w:color="auto"/>
              <w:right w:val="single" w:sz="8" w:color="auto"/>
            </w:tcBorders>
            <w:shd w:val="clear" w:color="auto" w:fill="CCEEFF"/>
          </w:tcPr>
          <w:p>
            <w:pPr>
              <w:spacing w:after="0"/>
              <w:rPr>
                <w:sz w:val="16"/>
                <w:szCs w:val="16"/>
                <w:color w:val="auto"/>
              </w:rPr>
            </w:pPr>
          </w:p>
        </w:tc>
        <w:tc>
          <w:tcPr>
            <w:tcW w:w="568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w w:val="91"/>
              </w:rPr>
              <w:t>Pilot pharmacokinetic testing demonstrated bioequivalence to Sudafed® 12-</w:t>
            </w:r>
          </w:p>
        </w:tc>
      </w:tr>
      <w:tr>
        <w:trPr>
          <w:trHeight w:val="216"/>
        </w:trPr>
        <w:tc>
          <w:tcPr>
            <w:tcW w:w="57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Extended-release formulation utilizing Impede 2.0 Technology</w:t>
            </w:r>
          </w:p>
        </w:tc>
        <w:tc>
          <w:tcPr>
            <w:tcW w:w="568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hour Tablets. Pre-IND meeting held with the FDA No imminent</w:t>
            </w:r>
          </w:p>
        </w:tc>
      </w:tr>
      <w:tr>
        <w:trPr>
          <w:trHeight w:val="230"/>
        </w:trPr>
        <w:tc>
          <w:tcPr>
            <w:tcW w:w="57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6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development planned</w:t>
            </w:r>
          </w:p>
        </w:tc>
      </w:tr>
      <w:tr>
        <w:trPr>
          <w:trHeight w:val="210"/>
        </w:trPr>
        <w:tc>
          <w:tcPr>
            <w:tcW w:w="5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Extended-release combination products</w:t>
            </w:r>
          </w:p>
        </w:tc>
        <w:tc>
          <w:tcPr>
            <w:tcW w:w="5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 imminent development planned</w:t>
            </w:r>
          </w:p>
        </w:tc>
      </w:tr>
      <w:tr>
        <w:trPr>
          <w:trHeight w:val="210"/>
        </w:trPr>
        <w:tc>
          <w:tcPr>
            <w:tcW w:w="57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Loratadine with pseudoephedrine</w:t>
            </w:r>
          </w:p>
        </w:tc>
        <w:tc>
          <w:tcPr>
            <w:tcW w:w="56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No imminent development planned</w:t>
            </w: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completed a pilot pharmacokinetic study for the PSE and loratadine 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505(b)(2) NDA submission. The Company has upgraded a portion of this formulation with its Impede 2.0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8"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2440" w:type="dxa"/>
            <w:vAlign w:val="bottom"/>
            <w:vMerge w:val="restart"/>
          </w:tcPr>
          <w:p>
            <w:pPr>
              <w:ind w:left="580"/>
              <w:spacing w:after="0"/>
              <w:rPr>
                <w:sz w:val="20"/>
                <w:szCs w:val="20"/>
                <w:color w:val="auto"/>
              </w:rPr>
            </w:pPr>
            <w:r>
              <w:rPr>
                <w:rFonts w:ascii="Arial" w:cs="Arial" w:eastAsia="Arial" w:hAnsi="Arial"/>
                <w:sz w:val="18"/>
                <w:szCs w:val="18"/>
                <w:color w:val="auto"/>
              </w:rPr>
              <w:t>Reference Brand</w:t>
            </w:r>
            <w:r>
              <w:rPr>
                <w:rFonts w:ascii="Arial" w:cs="Arial" w:eastAsia="Arial" w:hAnsi="Arial"/>
                <w:sz w:val="30"/>
                <w:szCs w:val="30"/>
                <w:color w:val="auto"/>
                <w:vertAlign w:val="superscript"/>
              </w:rPr>
              <w:t>1</w:t>
            </w:r>
          </w:p>
        </w:tc>
        <w:tc>
          <w:tcPr>
            <w:tcW w:w="100" w:type="dxa"/>
            <w:vAlign w:val="bottom"/>
            <w:vMerge w:val="restart"/>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ind w:left="920"/>
              <w:spacing w:after="0"/>
              <w:rPr>
                <w:sz w:val="20"/>
                <w:szCs w:val="20"/>
                <w:color w:val="auto"/>
              </w:rPr>
            </w:pPr>
            <w:r>
              <w:rPr>
                <w:rFonts w:ascii="Arial" w:cs="Arial" w:eastAsia="Arial" w:hAnsi="Arial"/>
                <w:sz w:val="18"/>
                <w:szCs w:val="18"/>
                <w:color w:val="auto"/>
              </w:rPr>
              <w:t>Active</w:t>
            </w:r>
          </w:p>
        </w:tc>
        <w:tc>
          <w:tcPr>
            <w:tcW w:w="280" w:type="dxa"/>
            <w:vAlign w:val="bottom"/>
          </w:tcPr>
          <w:p>
            <w:pPr>
              <w:spacing w:after="0"/>
              <w:rPr>
                <w:sz w:val="18"/>
                <w:szCs w:val="18"/>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2014 Retail Sales</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3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Brand Company</w:t>
            </w:r>
          </w:p>
        </w:tc>
        <w:tc>
          <w:tcPr>
            <w:tcW w:w="100" w:type="dxa"/>
            <w:vAlign w:val="bottom"/>
            <w:tcBorders>
              <w:bottom w:val="single" w:sz="8" w:color="CCEEFF"/>
            </w:tcBorders>
          </w:tcPr>
          <w:p>
            <w:pPr>
              <w:spacing w:after="0"/>
              <w:rPr>
                <w:sz w:val="20"/>
                <w:szCs w:val="20"/>
                <w:color w:val="auto"/>
              </w:rPr>
            </w:pPr>
          </w:p>
        </w:tc>
        <w:tc>
          <w:tcPr>
            <w:tcW w:w="23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Ingredient(s)</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8"/>
              </w:rPr>
              <w:t>($ Millions)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Claritin-D</w:t>
            </w: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Bayer</w:t>
            </w:r>
          </w:p>
        </w:tc>
        <w:tc>
          <w:tcPr>
            <w:tcW w:w="232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PSE &amp; Loraditine</w:t>
            </w:r>
            <w:r>
              <w:rPr>
                <w:rFonts w:ascii="Arial" w:cs="Arial" w:eastAsia="Arial" w:hAnsi="Arial"/>
                <w:sz w:val="30"/>
                <w:szCs w:val="30"/>
                <w:color w:val="auto"/>
                <w:vertAlign w:val="superscript"/>
              </w:rPr>
              <w:t>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7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Allegra-D</w:t>
            </w:r>
          </w:p>
        </w:tc>
        <w:tc>
          <w:tcPr>
            <w:tcW w:w="2440" w:type="dxa"/>
            <w:vAlign w:val="bottom"/>
            <w:gridSpan w:val="2"/>
          </w:tcPr>
          <w:p>
            <w:pPr>
              <w:spacing w:after="0"/>
              <w:rPr>
                <w:sz w:val="20"/>
                <w:szCs w:val="20"/>
                <w:color w:val="auto"/>
              </w:rPr>
            </w:pPr>
            <w:r>
              <w:rPr>
                <w:rFonts w:ascii="Arial" w:cs="Arial" w:eastAsia="Arial" w:hAnsi="Arial"/>
                <w:sz w:val="18"/>
                <w:szCs w:val="18"/>
                <w:color w:val="auto"/>
              </w:rPr>
              <w:t>Chattem</w:t>
            </w:r>
          </w:p>
        </w:tc>
        <w:tc>
          <w:tcPr>
            <w:tcW w:w="2420" w:type="dxa"/>
            <w:vAlign w:val="bottom"/>
            <w:gridSpan w:val="2"/>
          </w:tcPr>
          <w:p>
            <w:pPr>
              <w:spacing w:after="0" w:line="269"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30"/>
                <w:szCs w:val="30"/>
                <w:color w:val="auto"/>
                <w:vertAlign w:val="superscript"/>
              </w:rPr>
              <w:t>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202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Zyrtec-D</w:t>
            </w: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Pfizer</w:t>
            </w:r>
          </w:p>
        </w:tc>
        <w:tc>
          <w:tcPr>
            <w:tcW w:w="24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PSE &amp; Ceterizine</w:t>
            </w:r>
            <w:r>
              <w:rPr>
                <w:rFonts w:ascii="Arial" w:cs="Arial" w:eastAsia="Arial" w:hAnsi="Arial"/>
                <w:sz w:val="30"/>
                <w:szCs w:val="30"/>
                <w:color w:val="auto"/>
                <w:vertAlign w:val="superscript"/>
              </w:rPr>
              <w:t>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Advil Sinus</w:t>
            </w:r>
          </w:p>
        </w:tc>
        <w:tc>
          <w:tcPr>
            <w:tcW w:w="2440" w:type="dxa"/>
            <w:vAlign w:val="bottom"/>
            <w:gridSpan w:val="2"/>
          </w:tcPr>
          <w:p>
            <w:pPr>
              <w:spacing w:after="0"/>
              <w:rPr>
                <w:sz w:val="20"/>
                <w:szCs w:val="20"/>
                <w:color w:val="auto"/>
              </w:rPr>
            </w:pPr>
            <w:r>
              <w:rPr>
                <w:rFonts w:ascii="Arial" w:cs="Arial" w:eastAsia="Arial" w:hAnsi="Arial"/>
                <w:sz w:val="18"/>
                <w:szCs w:val="18"/>
                <w:color w:val="auto"/>
              </w:rPr>
              <w:t>Pfizer</w:t>
            </w:r>
          </w:p>
        </w:tc>
        <w:tc>
          <w:tcPr>
            <w:tcW w:w="2420" w:type="dxa"/>
            <w:vAlign w:val="bottom"/>
            <w:gridSpan w:val="2"/>
          </w:tcPr>
          <w:p>
            <w:pPr>
              <w:spacing w:after="0"/>
              <w:rPr>
                <w:sz w:val="20"/>
                <w:szCs w:val="20"/>
                <w:color w:val="auto"/>
              </w:rPr>
            </w:pPr>
            <w:r>
              <w:rPr>
                <w:rFonts w:ascii="Arial" w:cs="Arial" w:eastAsia="Arial" w:hAnsi="Arial"/>
                <w:sz w:val="18"/>
                <w:szCs w:val="18"/>
                <w:color w:val="auto"/>
              </w:rPr>
              <w:t>PSE &amp; Ibuprofen</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202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Sudafed 12 Hour</w:t>
            </w: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J&amp;J</w:t>
            </w:r>
          </w:p>
        </w:tc>
        <w:tc>
          <w:tcPr>
            <w:tcW w:w="24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PSE</w:t>
            </w:r>
            <w:r>
              <w:rPr>
                <w:rFonts w:ascii="Arial" w:cs="Arial" w:eastAsia="Arial" w:hAnsi="Arial"/>
                <w:sz w:val="30"/>
                <w:szCs w:val="30"/>
                <w:color w:val="auto"/>
                <w:vertAlign w:val="superscript"/>
              </w:rPr>
              <w:t>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Sudafed 30mg</w:t>
            </w:r>
          </w:p>
        </w:tc>
        <w:tc>
          <w:tcPr>
            <w:tcW w:w="2440" w:type="dxa"/>
            <w:vAlign w:val="bottom"/>
            <w:gridSpan w:val="2"/>
          </w:tcPr>
          <w:p>
            <w:pPr>
              <w:spacing w:after="0"/>
              <w:rPr>
                <w:sz w:val="20"/>
                <w:szCs w:val="20"/>
                <w:color w:val="auto"/>
              </w:rPr>
            </w:pPr>
            <w:r>
              <w:rPr>
                <w:rFonts w:ascii="Arial" w:cs="Arial" w:eastAsia="Arial" w:hAnsi="Arial"/>
                <w:sz w:val="18"/>
                <w:szCs w:val="18"/>
                <w:color w:val="auto"/>
              </w:rPr>
              <w:t>J&amp;J</w:t>
            </w:r>
          </w:p>
        </w:tc>
        <w:tc>
          <w:tcPr>
            <w:tcW w:w="2420" w:type="dxa"/>
            <w:vAlign w:val="bottom"/>
            <w:gridSpan w:val="2"/>
          </w:tcPr>
          <w:p>
            <w:pPr>
              <w:spacing w:after="0"/>
              <w:rPr>
                <w:sz w:val="20"/>
                <w:szCs w:val="20"/>
                <w:color w:val="auto"/>
              </w:rPr>
            </w:pPr>
            <w:r>
              <w:rPr>
                <w:rFonts w:ascii="Arial" w:cs="Arial" w:eastAsia="Arial" w:hAnsi="Arial"/>
                <w:sz w:val="18"/>
                <w:szCs w:val="18"/>
                <w:color w:val="auto"/>
              </w:rPr>
              <w:t>PSE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2020" w:type="dxa"/>
            <w:vAlign w:val="bottom"/>
            <w:gridSpan w:val="2"/>
          </w:tcPr>
          <w:p>
            <w:pPr>
              <w:jc w:val="right"/>
              <w:ind w:right="8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780" w:hanging="124"/>
        <w:spacing w:after="0"/>
        <w:tabs>
          <w:tab w:leader="none" w:pos="78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Branded product only. Does not include store brand sales.</w:t>
      </w:r>
    </w:p>
    <w:p>
      <w:pPr>
        <w:spacing w:after="0" w:line="42" w:lineRule="exact"/>
        <w:rPr>
          <w:rFonts w:ascii="Arial" w:cs="Arial" w:eastAsia="Arial" w:hAnsi="Arial"/>
          <w:sz w:val="30"/>
          <w:szCs w:val="30"/>
          <w:color w:val="auto"/>
          <w:vertAlign w:val="superscript"/>
        </w:rPr>
      </w:pPr>
    </w:p>
    <w:p>
      <w:pPr>
        <w:ind w:left="660"/>
        <w:spacing w:after="0" w:line="234"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Extended release PSE formulations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The 2014 market for 30mg PSE tablets, including store brands was approximately 470 million tablets or 19 million boxes of 24 tablets. MainPointe controls the price of Nexafed and Nexafed Sinus under the terms of the MainPointe Agreement.</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Nexafed and Nexafed Sinus Pressure + Pain products are marketed pursuant to the FDA’s OTC Monograph regulations, which require that our product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any of our other Impede Technology products will be marketed pursuant to an NDA or ANDA and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misuse and abuse of opioid analgesics continues to constitute a dynamic and challenging threat to the United States and is the nation’s fastest growing drug problem. During 2017, the US Government declared opioid abuse as an epidemic and national health emergency. According to the 2017 Centers on Disease Control Drug Surveillance Report, 11.8 million Americans aged 12 and over abused or misused prescription opioids in 2016. Further, this Report calculates that, on average, 115 Americans die every day from an opioid overdose. The majority of drug overdose deaths (66%) involve an opioid. Immediate release, or IR, opioid products comprise the vast majority of this abuse compared with extended release, or ER, opioid products</w:t>
      </w:r>
      <w:r>
        <w:rPr>
          <w:rFonts w:ascii="Arial" w:cs="Arial" w:eastAsia="Arial" w:hAnsi="Arial"/>
          <w:sz w:val="16"/>
          <w:szCs w:val="16"/>
          <w:b w:val="1"/>
          <w:bCs w:val="1"/>
          <w:color w:val="auto"/>
        </w:rPr>
        <w:t>.</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61 million people receive a prescription for the opioid hydrocodone annually. For many pain sufferers, opioid analgesics provide their only pain relief. As a result, opioid analgesics are among the largest prescription drug classes in the United States with over 214 million tablet and capsule prescriptions dispensed in 2016 of which approximately 194 million were for IR opioid products and 204 million were for ER opioid products. However, physicians and other health care providers at times are reluctant to prescribe opioid analgesics for fear of misuse, abuse, and diversion of legitimate prescriptions for illicit use.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2016 is provided below: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tbl>
      <w:tblPr>
        <w:tblLayout w:type="fixed"/>
        <w:tblInd w:w="260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2016 US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4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4"/>
          </w:tcPr>
          <w:p>
            <w:pPr>
              <w:jc w:val="center"/>
              <w:ind w:right="180"/>
              <w:spacing w:after="0"/>
              <w:rPr>
                <w:sz w:val="20"/>
                <w:szCs w:val="20"/>
                <w:color w:val="auto"/>
              </w:rPr>
            </w:pPr>
            <w:r>
              <w:rPr>
                <w:rFonts w:ascii="Arial" w:cs="Arial" w:eastAsia="Arial" w:hAnsi="Arial"/>
                <w:sz w:val="18"/>
                <w:szCs w:val="18"/>
                <w:color w:val="auto"/>
                <w:w w:val="88"/>
              </w:rPr>
              <w:t>Prescriptions</w:t>
            </w: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67"/>
        </w:trPr>
        <w:tc>
          <w:tcPr>
            <w:tcW w:w="4880" w:type="dxa"/>
            <w:vAlign w:val="bottom"/>
            <w:gridSpan w:val="2"/>
          </w:tcPr>
          <w:p>
            <w:pPr>
              <w:spacing w:after="0" w:line="266" w:lineRule="exact"/>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1140" w:type="dxa"/>
            <w:vAlign w:val="bottom"/>
            <w:gridSpan w:val="4"/>
          </w:tcPr>
          <w:p>
            <w:pPr>
              <w:jc w:val="center"/>
              <w:ind w:right="200"/>
              <w:spacing w:after="0" w:line="266" w:lineRule="exact"/>
              <w:rPr>
                <w:sz w:val="20"/>
                <w:szCs w:val="20"/>
                <w:color w:val="auto"/>
              </w:rPr>
            </w:pPr>
            <w:r>
              <w:rPr>
                <w:rFonts w:ascii="Arial" w:cs="Arial" w:eastAsia="Arial" w:hAnsi="Arial"/>
                <w:sz w:val="18"/>
                <w:szCs w:val="18"/>
                <w:color w:val="auto"/>
                <w:w w:val="93"/>
              </w:rPr>
              <w:t>(Millions)</w:t>
            </w:r>
            <w:r>
              <w:rPr>
                <w:rFonts w:ascii="Arial" w:cs="Arial" w:eastAsia="Arial" w:hAnsi="Arial"/>
                <w:sz w:val="30"/>
                <w:szCs w:val="30"/>
                <w:color w:val="auto"/>
                <w:w w:val="93"/>
                <w:vertAlign w:val="superscript"/>
              </w:rPr>
              <w:t>(2)</w:t>
            </w: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w w:val="93"/>
              </w:rPr>
              <w:t>of Total</w:t>
            </w:r>
          </w:p>
        </w:tc>
      </w:tr>
      <w:tr>
        <w:trPr>
          <w:trHeight w:val="223"/>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Hydrocodone</w:t>
            </w:r>
          </w:p>
        </w:tc>
        <w:tc>
          <w:tcPr>
            <w:tcW w:w="6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Oxycodone</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Tramadol</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Codeine</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 Others</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48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1" w:lineRule="exact"/>
        <w:rPr>
          <w:sz w:val="20"/>
          <w:szCs w:val="20"/>
          <w:color w:val="auto"/>
        </w:rPr>
      </w:pPr>
    </w:p>
    <w:p>
      <w:pPr>
        <w:ind w:left="760" w:hanging="104"/>
        <w:spacing w:after="0"/>
        <w:tabs>
          <w:tab w:leader="none" w:pos="76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Includes all salts and esters of the opioid and opioids in combination with other active ingredients such as acetaminophen.</w:t>
      </w:r>
    </w:p>
    <w:p>
      <w:pPr>
        <w:spacing w:after="0" w:line="42" w:lineRule="exact"/>
        <w:rPr>
          <w:rFonts w:ascii="Arial" w:cs="Arial" w:eastAsia="Arial" w:hAnsi="Arial"/>
          <w:sz w:val="28"/>
          <w:szCs w:val="28"/>
          <w:color w:val="auto"/>
          <w:vertAlign w:val="superscript"/>
        </w:rPr>
      </w:pPr>
    </w:p>
    <w:p>
      <w:pPr>
        <w:ind w:left="660"/>
        <w:spacing w:after="0" w:line="234" w:lineRule="auto"/>
        <w:rPr>
          <w:rFonts w:ascii="Arial" w:cs="Arial" w:eastAsia="Arial" w:hAnsi="Arial"/>
          <w:sz w:val="28"/>
          <w:szCs w:val="28"/>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IMS Health, 2016</w:t>
      </w:r>
    </w:p>
    <w:p>
      <w:pPr>
        <w:spacing w:after="0" w:line="8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Opioid Products Using Our Technologies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2015 FDA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or our licensee may seek to include descriptions of studies that characterize the safety features of our technologies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Zyla has committed to the FDA to undertake epidemiological studies to assess the actual consequences of abuse of Oxaydo in the market. Under the terms of the Zyla Agreement, we share a minority portion of the fees and expenses relating to such FDA required epidemiological studies, provided Zyla complies with the sections of the agreement relating thereto.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our Limitx Technology: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540" w:type="dxa"/>
            <w:vAlign w:val="bottom"/>
            <w:tcBorders>
              <w:top w:val="single" w:sz="8" w:color="auto"/>
              <w:left w:val="single" w:sz="8" w:color="auto"/>
              <w:bottom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rPr>
              <w:t>Patent No. (Jurisdiction)</w:t>
            </w:r>
          </w:p>
        </w:tc>
        <w:tc>
          <w:tcPr>
            <w:tcW w:w="616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8"/>
                <w:szCs w:val="18"/>
                <w:color w:val="auto"/>
              </w:rPr>
              <w:t>Subject matter</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760" w:type="dxa"/>
            <w:vAlign w:val="bottom"/>
            <w:tcBorders>
              <w:lef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9"/>
              </w:rPr>
              <w:t>9,101,636</w:t>
            </w:r>
          </w:p>
        </w:tc>
        <w:tc>
          <w:tcPr>
            <w:tcW w:w="178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61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Abuse deterrent products wherein the release of active ingredient is retarded when 3</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Aug. 2015</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tcBorders>
              <w:left w:val="single" w:sz="8" w:color="auto"/>
              <w:bottom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or more doses are consumed</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76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9,320,796</w:t>
            </w:r>
          </w:p>
        </w:tc>
        <w:tc>
          <w:tcPr>
            <w:tcW w:w="17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61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0"/>
              </w:rPr>
              <w:t>Abuse deterrent products wherein the release of active ingredient is retarded when 3</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Apr. 2016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tcBorders>
              <w:left w:val="single" w:sz="8" w:color="auto"/>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 more doses are consumed</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760" w:type="dxa"/>
            <w:vAlign w:val="bottom"/>
            <w:tcBorders>
              <w:lef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9"/>
              </w:rPr>
              <w:t>9,662,393</w:t>
            </w:r>
          </w:p>
        </w:tc>
        <w:tc>
          <w:tcPr>
            <w:tcW w:w="178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61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Abuse deterrent products wherein the release of active ingredient is retarded when 3</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May 2017</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tcBorders>
              <w:left w:val="single" w:sz="8" w:color="auto"/>
              <w:bottom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or more doses are consumed</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76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2,892,908</w:t>
            </w:r>
          </w:p>
        </w:tc>
        <w:tc>
          <w:tcPr>
            <w:tcW w:w="17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(CAN)</w:t>
            </w:r>
          </w:p>
        </w:tc>
        <w:tc>
          <w:tcPr>
            <w:tcW w:w="61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Abuse deterrent products wherein the release of active ingredient is retarded when</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Apr. 2016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tcBorders>
              <w:left w:val="single" w:sz="8" w:color="auto"/>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excessive doses are consumed</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760" w:type="dxa"/>
            <w:vAlign w:val="bottom"/>
            <w:tcBorders>
              <w:lef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9"/>
              </w:rPr>
              <w:t>5,922,851</w:t>
            </w:r>
          </w:p>
        </w:tc>
        <w:tc>
          <w:tcPr>
            <w:tcW w:w="178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(JAPAN)</w:t>
            </w:r>
          </w:p>
        </w:tc>
        <w:tc>
          <w:tcPr>
            <w:tcW w:w="61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Abuse deterrent products wherein the release of active ingredient is retarded when</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Apr. 2016</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760" w:type="dxa"/>
            <w:vAlign w:val="bottom"/>
            <w:tcBorders>
              <w:left w:val="single" w:sz="8" w:color="auto"/>
              <w:bottom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excessive doses are consumed</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Oxaydo and our Aversion Technology: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540" w:type="dxa"/>
            <w:vAlign w:val="bottom"/>
            <w:tcBorders>
              <w:top w:val="single" w:sz="8" w:color="auto"/>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Patent No. (Jurisdiction)</w:t>
            </w:r>
          </w:p>
        </w:tc>
        <w:tc>
          <w:tcPr>
            <w:tcW w:w="616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8"/>
                <w:szCs w:val="18"/>
                <w:color w:val="auto"/>
              </w:rPr>
              <w:t>Subject Matter</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254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7,201,920 (US)</w:t>
            </w:r>
          </w:p>
        </w:tc>
        <w:tc>
          <w:tcPr>
            <w:tcW w:w="61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Pharmaceutical compositions including a mixture of functional inactive ingredients</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Apr. 2007</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Mar. 2025</w:t>
            </w:r>
          </w:p>
        </w:tc>
      </w:tr>
      <w:tr>
        <w:trPr>
          <w:trHeight w:val="230"/>
        </w:trPr>
        <w:tc>
          <w:tcPr>
            <w:tcW w:w="2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and specific opioid analgesics</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7,510,726 (US)</w:t>
            </w: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 wider range of compositions than those described in the 7,201,920 Patent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Mar. 2009</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2023</w:t>
            </w:r>
          </w:p>
        </w:tc>
      </w:tr>
      <w:tr>
        <w:trPr>
          <w:trHeight w:val="210"/>
        </w:trPr>
        <w:tc>
          <w:tcPr>
            <w:tcW w:w="25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7,981,439 (US)</w:t>
            </w:r>
          </w:p>
        </w:tc>
        <w:tc>
          <w:tcPr>
            <w:tcW w:w="61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Pharmaceutical compositions including any water soluble drug susceptible to abuse</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2011</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Aug. 2024</w:t>
            </w:r>
          </w:p>
        </w:tc>
      </w:tr>
      <w:tr>
        <w:trPr>
          <w:trHeight w:val="21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8,409,616 (US)</w:t>
            </w: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Pharmaceutical compositions of immediate-release abuse deterrent dosage forms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Apr. 2013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2023</w:t>
            </w:r>
          </w:p>
        </w:tc>
      </w:tr>
      <w:tr>
        <w:trPr>
          <w:trHeight w:val="210"/>
        </w:trPr>
        <w:tc>
          <w:tcPr>
            <w:tcW w:w="25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8,637,540 (US)</w:t>
            </w:r>
          </w:p>
        </w:tc>
        <w:tc>
          <w:tcPr>
            <w:tcW w:w="61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Pharmaceutical compositions of immediate-release abuse deterrent opioid products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Jan. 2014</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 2023</w:t>
            </w:r>
          </w:p>
        </w:tc>
      </w:tr>
      <w:tr>
        <w:trPr>
          <w:trHeight w:val="21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9,492,443 (US)</w:t>
            </w: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1"/>
              </w:rPr>
              <w:t>Pharmaceutical compositions of immediate-release abuse deterrent opioid products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Nov. 2016</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2023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additional issued patents relating to our Aversion Technology: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540" w:type="dxa"/>
            <w:vAlign w:val="bottom"/>
            <w:tcBorders>
              <w:top w:val="single" w:sz="8" w:color="auto"/>
              <w:left w:val="single" w:sz="8" w:color="auto"/>
              <w:bottom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rPr>
              <w:t>Patent No. (Jurisdiction)</w:t>
            </w:r>
          </w:p>
        </w:tc>
        <w:tc>
          <w:tcPr>
            <w:tcW w:w="616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8"/>
                <w:szCs w:val="18"/>
                <w:color w:val="auto"/>
              </w:rPr>
              <w:t>Subject Matter</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760" w:type="dxa"/>
            <w:vAlign w:val="bottom"/>
            <w:tcBorders>
              <w:lef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89"/>
              </w:rPr>
              <w:t>7,476,402</w:t>
            </w:r>
          </w:p>
        </w:tc>
        <w:tc>
          <w:tcPr>
            <w:tcW w:w="178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61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Pharmaceutical compositions of certain combinations of kappa and mu opioid</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Jan. 2009</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2023</w:t>
            </w:r>
          </w:p>
        </w:tc>
      </w:tr>
      <w:tr>
        <w:trPr>
          <w:trHeight w:val="216"/>
        </w:trPr>
        <w:tc>
          <w:tcPr>
            <w:tcW w:w="760" w:type="dxa"/>
            <w:vAlign w:val="bottom"/>
            <w:tcBorders>
              <w:lef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spacing w:after="0"/>
              <w:rPr>
                <w:sz w:val="18"/>
                <w:szCs w:val="18"/>
                <w:color w:val="auto"/>
              </w:rPr>
            </w:pPr>
          </w:p>
        </w:tc>
        <w:tc>
          <w:tcPr>
            <w:tcW w:w="61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receptor agonists and other ingredients intended to deter opioid analgesic product</w:t>
            </w:r>
          </w:p>
        </w:tc>
        <w:tc>
          <w:tcPr>
            <w:tcW w:w="126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r>
      <w:tr>
        <w:trPr>
          <w:trHeight w:val="230"/>
        </w:trPr>
        <w:tc>
          <w:tcPr>
            <w:tcW w:w="760" w:type="dxa"/>
            <w:vAlign w:val="bottom"/>
            <w:tcBorders>
              <w:left w:val="single" w:sz="8" w:color="auto"/>
              <w:bottom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misuse and abuse</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76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w w:val="89"/>
              </w:rPr>
              <w:t>8,822,489</w:t>
            </w:r>
          </w:p>
        </w:tc>
        <w:tc>
          <w:tcPr>
            <w:tcW w:w="17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61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Pharmaceutical  compositions  of  certain  abuse  deterrent  products  that  contain</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July 2014</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2023</w:t>
            </w:r>
          </w:p>
        </w:tc>
      </w:tr>
      <w:tr>
        <w:trPr>
          <w:trHeight w:val="230"/>
        </w:trPr>
        <w:tc>
          <w:tcPr>
            <w:tcW w:w="760" w:type="dxa"/>
            <w:vAlign w:val="bottom"/>
            <w:tcBorders>
              <w:left w:val="single" w:sz="8" w:color="auto"/>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polymers, surfactant and polysorb 80</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10"/>
        </w:trPr>
        <w:tc>
          <w:tcPr>
            <w:tcW w:w="254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2,004,294,953 (AUS)</w:t>
            </w:r>
          </w:p>
        </w:tc>
        <w:tc>
          <w:tcPr>
            <w:tcW w:w="61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Apr. 2010</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10"/>
        </w:trPr>
        <w:tc>
          <w:tcPr>
            <w:tcW w:w="25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2,010,200,979 (AUS)</w:t>
            </w: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Aug. 2010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2024</w:t>
            </w:r>
          </w:p>
        </w:tc>
      </w:tr>
      <w:tr>
        <w:trPr>
          <w:trHeight w:val="210"/>
        </w:trPr>
        <w:tc>
          <w:tcPr>
            <w:tcW w:w="760" w:type="dxa"/>
            <w:vAlign w:val="bottom"/>
            <w:tcBorders>
              <w:left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9"/>
              </w:rPr>
              <w:t>2,547,334</w:t>
            </w:r>
          </w:p>
        </w:tc>
        <w:tc>
          <w:tcPr>
            <w:tcW w:w="17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(CAN)</w:t>
            </w:r>
          </w:p>
        </w:tc>
        <w:tc>
          <w:tcPr>
            <w:tcW w:w="61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Aug. 2010</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10"/>
        </w:trPr>
        <w:tc>
          <w:tcPr>
            <w:tcW w:w="7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9"/>
              </w:rPr>
              <w:t>2,647,360</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w:t>
            </w: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May 2012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Apr. 2027</w:t>
            </w:r>
          </w:p>
        </w:tc>
      </w:tr>
      <w:tr>
        <w:trPr>
          <w:trHeight w:val="210"/>
        </w:trPr>
        <w:tc>
          <w:tcPr>
            <w:tcW w:w="254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175,863 (ISR)</w:t>
            </w:r>
          </w:p>
        </w:tc>
        <w:tc>
          <w:tcPr>
            <w:tcW w:w="61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 2004</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10"/>
        </w:trPr>
        <w:tc>
          <w:tcPr>
            <w:tcW w:w="25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221,018 (ISR)</w:t>
            </w:r>
          </w:p>
        </w:tc>
        <w:tc>
          <w:tcPr>
            <w:tcW w:w="6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Nov. 2004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2024</w:t>
            </w:r>
          </w:p>
        </w:tc>
      </w:tr>
      <w:tr>
        <w:trPr>
          <w:trHeight w:val="210"/>
        </w:trPr>
        <w:tc>
          <w:tcPr>
            <w:tcW w:w="254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1694260 (EUR)</w:t>
            </w:r>
          </w:p>
        </w:tc>
        <w:tc>
          <w:tcPr>
            <w:tcW w:w="61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 2004</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642"/>
        </w:trPr>
        <w:tc>
          <w:tcPr>
            <w:tcW w:w="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ind w:left="3080"/>
              <w:spacing w:after="0"/>
              <w:rPr>
                <w:sz w:val="20"/>
                <w:szCs w:val="20"/>
                <w:color w:val="auto"/>
              </w:rPr>
            </w:pPr>
            <w:r>
              <w:rPr>
                <w:rFonts w:ascii="Arial" w:cs="Arial" w:eastAsia="Arial" w:hAnsi="Arial"/>
                <w:sz w:val="18"/>
                <w:szCs w:val="18"/>
                <w:color w:val="auto"/>
              </w:rPr>
              <w:t>36</w:t>
            </w:r>
          </w:p>
        </w:tc>
        <w:tc>
          <w:tcPr>
            <w:tcW w:w="1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We have the following issued patents covering, among other things, our Nexafed product line and Impede 1.0 and 2.0 technologies: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60" w:type="dxa"/>
            <w:vAlign w:val="bottom"/>
            <w:tcBorders>
              <w:top w:val="single" w:sz="8" w:color="auto"/>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Patent No. (Jurisdiction)</w:t>
            </w:r>
          </w:p>
        </w:tc>
        <w:tc>
          <w:tcPr>
            <w:tcW w:w="5940" w:type="dxa"/>
            <w:vAlign w:val="bottom"/>
            <w:tcBorders>
              <w:top w:val="single" w:sz="8" w:color="auto"/>
              <w:bottom w:val="single" w:sz="8" w:color="auto"/>
              <w:right w:val="single" w:sz="8" w:color="auto"/>
            </w:tcBorders>
          </w:tcPr>
          <w:p>
            <w:pPr>
              <w:ind w:left="2420"/>
              <w:spacing w:after="0"/>
              <w:rPr>
                <w:sz w:val="20"/>
                <w:szCs w:val="20"/>
                <w:color w:val="auto"/>
              </w:rPr>
            </w:pPr>
            <w:r>
              <w:rPr>
                <w:rFonts w:ascii="Arial" w:cs="Arial" w:eastAsia="Arial" w:hAnsi="Arial"/>
                <w:sz w:val="18"/>
                <w:szCs w:val="18"/>
                <w:color w:val="auto"/>
              </w:rPr>
              <w:t>Subject Matter</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266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8,901,113 (US)</w:t>
            </w:r>
          </w:p>
        </w:tc>
        <w:tc>
          <w:tcPr>
            <w:tcW w:w="594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3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Dec. 2014</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30"/>
        </w:trPr>
        <w:tc>
          <w:tcPr>
            <w:tcW w:w="26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6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9,757,466 (US)</w:t>
            </w:r>
          </w:p>
        </w:tc>
        <w:tc>
          <w:tcPr>
            <w:tcW w:w="59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2017</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30"/>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5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3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66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10,004,699 (US)</w:t>
            </w:r>
          </w:p>
        </w:tc>
        <w:tc>
          <w:tcPr>
            <w:tcW w:w="594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7"/>
              </w:rPr>
              <w:t>Methods and compositions for interfering with extraction or conversion of a</w:t>
            </w:r>
          </w:p>
        </w:tc>
        <w:tc>
          <w:tcPr>
            <w:tcW w:w="13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Jun. 2018</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Dec. 2035</w:t>
            </w:r>
          </w:p>
        </w:tc>
      </w:tr>
      <w:tr>
        <w:trPr>
          <w:trHeight w:val="230"/>
        </w:trPr>
        <w:tc>
          <w:tcPr>
            <w:tcW w:w="26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drug susceptible to abuse</w:t>
            </w: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6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2010300641 (AUS)</w:t>
            </w:r>
          </w:p>
        </w:tc>
        <w:tc>
          <w:tcPr>
            <w:tcW w:w="59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Jun. 2016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5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3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66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2,775,890 (CAN)</w:t>
            </w:r>
          </w:p>
        </w:tc>
        <w:tc>
          <w:tcPr>
            <w:tcW w:w="594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3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Jun. 2016</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6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6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2,488,029 (EUR)</w:t>
            </w:r>
          </w:p>
        </w:tc>
        <w:tc>
          <w:tcPr>
            <w:tcW w:w="59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Mar. 2016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5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3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66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218533 (ISR)</w:t>
            </w:r>
          </w:p>
        </w:tc>
        <w:tc>
          <w:tcPr>
            <w:tcW w:w="594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3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5"/>
              </w:rPr>
              <w:t>Jan. 2016</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6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6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2015274936 (AUS)</w:t>
            </w:r>
          </w:p>
        </w:tc>
        <w:tc>
          <w:tcPr>
            <w:tcW w:w="59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Methods and compositions for interfering with extraction or conversion of a</w:t>
            </w: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2018</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June 2035</w:t>
            </w:r>
          </w:p>
        </w:tc>
      </w:tr>
      <w:tr>
        <w:trPr>
          <w:trHeight w:val="230"/>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5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drug susceptible to abuse</w:t>
            </w:r>
          </w:p>
        </w:tc>
        <w:tc>
          <w:tcPr>
            <w:tcW w:w="13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66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13102020.5 (HK)</w:t>
            </w:r>
          </w:p>
        </w:tc>
        <w:tc>
          <w:tcPr>
            <w:tcW w:w="594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3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Oct. 2016</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6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Zyla Agreement, the KemPharm Agreement, and the MainPointe Agreement and in the patent infringement settlement agreements described below, we have retained all intellectual property rights to our Aversion Technology, Impede Technology, Limitx Technology and related product candidates.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2012 and 2013, we received Paragraph IV Certification Notices from five generic sponsors of ANDAs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“Item 1A. Risk Factors – Generic manufacturers are using litigation and regulatory means to seek approval for generic versions of Oxaydo, which could cause Zyla’s sales to suffer and adversely impact our royalty revenue” for a discussion of the settlements and license grants relating to such patent litigation. 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2015, Purdue Pharma L.P., Purdue Pharmaceuticals L.P. and The P.F. Laboratories, Inc., or collectively Purdue, commenced a patent infringement lawsuit against us and our Oxaydo product licensee Zyla in the United States District Court for the District of Delaware alleging our Oxaydo product infringes Purdue’s U.S. Patent No. 8,389,007, or the 007 Patent. In April 2016, Purdue commenced a second patent infringement lawsuit against us and Zyla in the United States District Court for the District of Delaware alleging our Oxaydo product infringes Purdue’s then newly issued U.S. Patent No. 9,308,171, or the 171 Patent. The actions regarding the 007 Patent and the 171 Patent are collectively referred to as the “Actions”. On April 6, 2016, we filed a petition for Inter Parties Review, or IPR Review, with the USPTO seeking to invalidate Purdue’s 007 Patent.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20, 2016, we, Purdue and Zyla entered into a settlement agreement to settle the Actions and the IPR Review. Under the settlement agreement the parties dismissed or withdrew the Actions, requested that the USPTO terminate the IPR Review and exchanged mutual releases. No payments were made by the parties under the settlement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spacing w:after="0" w:line="286" w:lineRule="auto"/>
        <w:rPr>
          <w:sz w:val="20"/>
          <w:szCs w:val="20"/>
          <w:color w:val="auto"/>
        </w:rPr>
      </w:pPr>
      <w:r>
        <w:rPr>
          <w:rFonts w:ascii="Arial" w:cs="Arial" w:eastAsia="Arial" w:hAnsi="Arial"/>
          <w:sz w:val="17"/>
          <w:szCs w:val="17"/>
          <w:color w:val="auto"/>
        </w:rPr>
        <w:t>Reference is made to the Risk Factors contained in our Annual Report on Form 10-K for the year ended December 31, 2018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2019 and December 31, 2018, we had cash of $0.1 million. We had an accumulated deficit of $385 million at March 31, 2019. We had loss from operations of $0.7 million and net loss of $0.8 million for the three months ended March 31, 2019 and we had a net loss from operations of $3.92 million and a net loss of $3.84 million for the year ended December 31, 2018.</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28, 2019, we entered into License, Development and Commercialization Agreement (the Agreement) with Abuse Deterrent Pharma, LLC. The Agreement grants AD Pharma exclusive commercialization rights in the United States to LTX-03. Financial arrangements include monthly license payments by AD Pharma of $350,000 up to the earlier of 18 months or FDA’s acceptance of a New Drug Application (NDA) for LTX-03 and reimbursement by AD Pharma of Acura’s LTX-03 outside development expenses. Upon commercialization of LTX-03, Acura receives stepped royalties on sales and is eligible for certain sales related milestones. However, if the NDA application for LTX-03 is not accepted by the FDA within 18 months, AD Pharma may terminate the Agreement and take ownership of the intellectual property.</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Agreement allows AD Pharma to terminate the Agreement “for convenience”. Should AD Pharma exercise their right to terminate the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In light of AD Pharma’s right to terminate the Agreement “upon convenience”, our independent auditors have included in their report relating to our 2018 financial statements a “going concern” explanatory paragraph as to substantial doubt of our ability to continue as a going concern.</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Also, the required monthly license payments by AD Pharma cease at November 2020 at which time the Company will need to have additional capital to fund operations until such time as LTX-03 is approved and royalty payments commence. To fund further operations beyond December 2020,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Our future sources of revenue, if any, will be derived from licensing fees, milestone payments and royalties under the AD Pharma Agreement, the Zyla Agreement, the KemPharm Agreement, the MainPointe Agreement and similar agreements which we may enter into for our Limitx products in development with other pharmaceutical company partners, for which there can be no assurance.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2019 Compared to Three months Ended March 31, 2018</w:t>
      </w:r>
    </w:p>
    <w:p>
      <w:pPr>
        <w:spacing w:after="0" w:line="239"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8"/>
              </w:rPr>
              <w:t>Increase (decrease)</w:t>
            </w: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0"/>
              </w:rPr>
              <w:t>$000’s</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6"/>
              </w:rPr>
              <w:t>Percent</w:t>
            </w: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Royalty revenue</w:t>
            </w:r>
          </w:p>
        </w:tc>
        <w:tc>
          <w:tcPr>
            <w:tcW w:w="19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8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1"/>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Expenses:</w:t>
            </w: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w:t>
            </w:r>
          </w:p>
        </w:tc>
        <w:tc>
          <w:tcPr>
            <w:tcW w:w="8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(506)</w:t>
            </w:r>
          </w:p>
        </w:tc>
        <w:tc>
          <w:tcPr>
            <w:tcW w:w="8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(843)</w:t>
            </w:r>
          </w:p>
        </w:tc>
        <w:tc>
          <w:tcPr>
            <w:tcW w:w="8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00"/>
              <w:spacing w:after="0"/>
              <w:rPr>
                <w:sz w:val="20"/>
                <w:szCs w:val="20"/>
                <w:color w:val="auto"/>
              </w:rPr>
            </w:pPr>
            <w:r>
              <w:rPr>
                <w:rFonts w:ascii="Arial" w:cs="Arial" w:eastAsia="Arial" w:hAnsi="Arial"/>
                <w:sz w:val="18"/>
                <w:szCs w:val="18"/>
                <w:color w:val="auto"/>
              </w:rPr>
              <w:t>Operating loss</w:t>
            </w: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(683)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(712)</w:t>
            </w:r>
          </w:p>
        </w:tc>
        <w:tc>
          <w:tcPr>
            <w:tcW w:w="8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before income taxes</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(788)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w:t>
            </w:r>
          </w:p>
        </w:tc>
        <w:tc>
          <w:tcPr>
            <w:tcW w:w="8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loss</w:t>
            </w:r>
          </w:p>
        </w:tc>
        <w:tc>
          <w:tcPr>
            <w:tcW w:w="19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(788)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w:t>
            </w:r>
          </w:p>
        </w:tc>
        <w:tc>
          <w:tcPr>
            <w:tcW w:w="8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our agreement with Zyla for Oxaydo tablets, we earn a royalty based on Oxaydo net sales. We recognized $55 thousand and $190 thousand of royalty revenue during the three months ended March 31, 2019 and 2018, respectively. Included in the 2018 results is a one-time benefit of $89 thousand on royalty revenue reported to us by Zyla for the effect of their adoption of ASC 606 on Oxaydo net sales.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our agreement with MainPointe for the Nexafed products, we earn a royalty of 7.5% on net sales. We recognized $12 thousand and $8 thousand of royalty revenue during the three months ended March 31,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 is primarily associated with our Limitx Technology development activity. Included in each of March 31, 2019 and 2018 reported quarterly expenses are share-based compensation expenses of approximately $6 thousand and $20 thousand, respectively. Excluding the share-based compensation expense, our research and development expenses decreased by $323 thousand between reporting periods primarily in the categories of salaries, company insurance premiums and outside clinical and development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general and administrative expenses primarily consisted of legal, audit and other professional services, corporate insurance, and payroll. Included in each of the March 31, 2019 and 2018 quarterly results are share-based compensation expenses of approximately $29 thousand and $56 thousand, respectively. Excluding this share-based compensation expense, our general and administrative expenses decreased by $479 thousand between reporting periods, resulting primarily in the categories of salaries, company insurance premiums, patent and general legal activities, director compensation, and investment and accounting consulting fees.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2019 and 2018, we incurred net interest expense on our term loans of $105 thousand and $99 thousand, respectively. The term loan from Oxford having a maturity date of December 1, 2018, was negotiated and settled in October 2018 using loan proceeds from Mr. Schutte.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2019 and 2018 show no federal or state income tax benefit provisions due to 100% allowances placed against them for the uncertainty of their future utilization.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2019 and December 31, 2018, we had cash of $0.1 million. As of September 27, 2019 our cash balance was approximately $600 thousand. Additionally, the License, Development and Commercialization Agreement dated June 28, 2019 (the “Agreement”) requires AD Pharma to pay us monthly license payments of $350,000 from July 2019 through November 2020 and pay all outside development costs for LTX-03.</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However, the Agreement allows AD Pharma to terminate the Agreement “for convenience”. Should AD Pharma exercise their right to terminate the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In light of AD Pharma’s right to terminate the Agreement “upon convenience”, our independent auditors have included in their report relating to our 2018 financial statements a “going concern” explanatory paragraph as to substantial doubt of our ability to continue as a going concern.</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Also, the required monthly license payments by AD Pharma cease at November 2020 at which time the Company will need to have additional capital to fund operations until such time as LTX-03 is approved and royalty payments commence. To fund further operations beyond December 2020,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color w:val="auto"/>
        </w:rPr>
        <w:t>Our future sources of revenue, if any, will be derived from licensing fees, milestone payments and royalties under the AD Pharma Agreement, the Zyla Agreement, the KemPharm Agreement, the MainPointe Agreement and similar agreements which we may enter into for our Limitx products in development with other pharmaceutical company partners, for which there can be no assurance.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1 of the Notes to Consolidated Financial Statements, in the Company’s 2018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2018 Annual Report are also applicable to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573" w:val="left"/>
        </w:tabs>
        <w:numPr>
          <w:ilvl w:val="0"/>
          <w:numId w:val="12"/>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78" w:lineRule="exact"/>
        <w:rPr>
          <w:rFonts w:ascii="Arial" w:cs="Arial" w:eastAsia="Arial" w:hAnsi="Arial"/>
          <w:sz w:val="17"/>
          <w:szCs w:val="17"/>
          <w:color w:val="auto"/>
        </w:rPr>
      </w:pPr>
    </w:p>
    <w:p>
      <w:pPr>
        <w:ind w:firstLine="8"/>
        <w:spacing w:after="0" w:line="277" w:lineRule="auto"/>
        <w:tabs>
          <w:tab w:leader="none" w:pos="475" w:val="left"/>
        </w:tabs>
        <w:numPr>
          <w:ilvl w:val="0"/>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Changes in Internal Controls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There were no changes in our internal controls over financial reporting during the first fiscal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2019 that have materially affected, or are reasonably likely to materially affect, our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to Note 15, “Commitments and Contingencies,” in Part I, Item 1,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Investors in our common stock should consider the following risk factors, in addition to those risk factors set forth in our 2018 Annual Report on Form 10-K:</w:t>
      </w:r>
    </w:p>
    <w:p>
      <w:pPr>
        <w:spacing w:after="0" w:line="248"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b w:val="1"/>
          <w:bCs w:val="1"/>
          <w:i w:val="1"/>
          <w:iCs w:val="1"/>
          <w:color w:val="auto"/>
        </w:rPr>
        <w:t>We will be required to raise additional funds to finance our operations and remain a going concern; we may not be able to do so when necessary, and/or the terms of any financings may not be advantageous to us; if we fail to raise additional funding we will cease operations and/or seek protection under applicable bankruptcy laws.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to date have consumed substantial amounts of cash. Negative cash flows from our operations are expected to continue over at least the next several years. Our cash utilization amount is highly dependent on the progress of our product development programs, particularly, the results of our preclinical and clinical studies of our Limitx product candidates and the cost, timing and outcomes of regulatory approval for our Limitx product candidates. In addition, the further development of our ongoing clinical trials will depend on upcoming analysis and results of those studies and our financial resources at that time. As of September 27, 2019 our cash balance was approximately $600 thousand. Additionally, the Agreement with AD Pharma calls for monthly license payments of $350,000 from July 2019 through November 2020 and as well as their payment of all outside development costs for LTX-03. We expect these amounts will fund operations through 2020. The monthly payments by AD Pharma cease in November 2020 at which time the Company will need to have additional capital to fund operations until such time as LTX-03 is approved and royalty payments commence. To fund further operations beyond December 2020, we must raise additional financing or enter into license or collaboration agreements with third parties relating to our technologies or explore a variety of capital raising and other transactions to provide additional funding.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spacing w:after="0" w:line="287" w:lineRule="auto"/>
        <w:rPr>
          <w:sz w:val="20"/>
          <w:szCs w:val="20"/>
          <w:color w:val="auto"/>
        </w:rPr>
      </w:pPr>
      <w:r>
        <w:rPr>
          <w:rFonts w:ascii="Arial" w:cs="Arial" w:eastAsia="Arial" w:hAnsi="Arial"/>
          <w:sz w:val="16"/>
          <w:szCs w:val="16"/>
          <w:color w:val="auto"/>
        </w:rPr>
        <w:t>We will require future additional capital infusions including public or private financing, strategic partnerships or other arrangements with organizations that have capabilities and/or products that are complementary to our own capabilities and/or products, in order to continue the development of our product candidates. However, there can be no assurances that we will complete any financings, strategic alliances or collaborative development agreements, and the terms of such arrangements may not be advantageous to us. Any additional equity financing will be dilutive to our current stockholders and debt financing, if available, may involve restrictive covenants. If we raise funds through collaborative or licensing arrangements, we may be required to relinquish, on terms that are not favorable to us, rights to some of our technologies or product candidates that we would otherwise seek to develop or commercialize. Our failure to raise capital when needed could materially harm our business, financial condition and results of operations. In the absence of the receipt of additional financing or payments under third-party license or collaborative agreements, we will be required to scale back or terminate operations and/or seek protection under applicable bankruptcy laws. This could result in a complete loss of shareholder value of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 to sustain and grow our operations.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ongoing capital requirements will depend on numerous factors, including: the progress and results of preclinical testing and clinical trials of our Limitx product candidates under development; the costs of complying with the FDA and other domestic regulatory agency requirements, the progress of our research and development programs and those of our partners; the time and costs expended and required to obtain any necessary or desired regulatory approvals; our ability to enter into licensing arrangements, including any unanticipated licensing arrangements that may be necessary to enable us to continue our development and clinical trial programs; the costs and expenses of filing, prosecuting and, if necessary, enforcing our patent claims, or defending against possible claims of infringement by third-party patent or other technology rights; the cost of commercialization activities and arrangements that we undertake; and the demand for our products, which demand depends in turn on circumstances and uncertainties that cannot be fully known, understood or quantified unless and until the time of approval, including the FDA approved label for any product.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this Item are listed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46</w:t>
              </w:r>
            </w:hyperlink>
          </w:p>
        </w:tc>
        <w:tc>
          <w:tcPr>
            <w:tcW w:w="560" w:type="dxa"/>
            <w:vAlign w:val="bottom"/>
          </w:tcPr>
          <w:p>
            <w:pPr>
              <w:spacing w:after="0"/>
              <w:rPr>
                <w:sz w:val="17"/>
                <w:szCs w:val="17"/>
                <w:color w:val="auto"/>
              </w:rPr>
            </w:pPr>
          </w:p>
        </w:tc>
        <w:tc>
          <w:tcPr>
            <w:tcW w:w="2880" w:type="dxa"/>
            <w:vAlign w:val="bottom"/>
            <w:tcBorders>
              <w:bottom w:val="single" w:sz="8" w:color="0000EE"/>
            </w:tcBorders>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Promissory Note Dated March 25, 2019</w:t>
              </w:r>
            </w:hyperlink>
          </w:p>
        </w:tc>
        <w:tc>
          <w:tcPr>
            <w:tcW w:w="7560" w:type="dxa"/>
            <w:vAlign w:val="bottom"/>
            <w:gridSpan w:val="4"/>
          </w:tcPr>
          <w:p>
            <w:pPr>
              <w:spacing w:after="0"/>
              <w:rPr>
                <w:sz w:val="17"/>
                <w:szCs w:val="17"/>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48">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Certification of Periodic Report by Chief Executive Officer pursuant to Rule 13a-14 and 15d-14 of the Securities Exchange Act of 1934.</w:t>
              </w:r>
            </w:hyperlink>
          </w:p>
        </w:tc>
        <w:tc>
          <w:tcPr>
            <w:tcW w:w="600" w:type="dxa"/>
            <w:vAlign w:val="bottom"/>
          </w:tcPr>
          <w:p>
            <w:pPr>
              <w:spacing w:after="0"/>
              <w:rPr>
                <w:sz w:val="24"/>
                <w:szCs w:val="24"/>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w:anchor="page49">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40" w:type="dxa"/>
            <w:vAlign w:val="bottom"/>
            <w:gridSpan w:val="5"/>
          </w:tcPr>
          <w:p>
            <w:pPr>
              <w:spacing w:after="0"/>
              <w:rPr>
                <w:rFonts w:ascii="Arial" w:cs="Arial" w:eastAsia="Arial" w:hAnsi="Arial"/>
                <w:sz w:val="18"/>
                <w:szCs w:val="18"/>
                <w:color w:val="0000EE"/>
                <w:w w:val="97"/>
              </w:rPr>
            </w:pPr>
            <w:hyperlink w:anchor="page49">
              <w:r>
                <w:rPr>
                  <w:rFonts w:ascii="Arial" w:cs="Arial" w:eastAsia="Arial" w:hAnsi="Arial"/>
                  <w:sz w:val="18"/>
                  <w:szCs w:val="18"/>
                  <w:color w:val="0000EE"/>
                  <w:w w:val="97"/>
                </w:rPr>
                <w:t>Certification of Periodic Report by Chief Financial Officer pursuant to Rule 13a-14 and 15d-14 of the Securities Exchange Act of 1934.</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gridSpan w:val="2"/>
            <w:shd w:val="clear" w:color="auto" w:fill="0000EE"/>
          </w:tcPr>
          <w:p>
            <w:pPr>
              <w:spacing w:after="0" w:line="20" w:lineRule="exact"/>
              <w:rPr>
                <w:sz w:val="1"/>
                <w:szCs w:val="1"/>
                <w:color w:val="auto"/>
              </w:rPr>
            </w:pPr>
          </w:p>
        </w:tc>
        <w:tc>
          <w:tcPr>
            <w:tcW w:w="548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4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Certification of Periodic Report by the Chief Executive Officer and Chief Financial Officer pursuant to 18 U.S.C. Section 1350, as adopted</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40" w:type="dxa"/>
            <w:vAlign w:val="bottom"/>
            <w:gridSpan w:val="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pursuant to Section 906 of the Sarbanes-Oxley Act of 2002.</w:t>
              </w:r>
            </w:hyperlink>
          </w:p>
        </w:tc>
      </w:tr>
      <w:tr>
        <w:trPr>
          <w:trHeight w:val="453"/>
        </w:trPr>
        <w:tc>
          <w:tcPr>
            <w:tcW w:w="9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3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6140" w:type="dxa"/>
            <w:vAlign w:val="bottom"/>
            <w:gridSpan w:val="3"/>
          </w:tcPr>
          <w:p>
            <w:pPr>
              <w:spacing w:after="0"/>
              <w:rPr>
                <w:sz w:val="24"/>
                <w:szCs w:val="24"/>
                <w:color w:val="auto"/>
              </w:rPr>
            </w:pP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4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4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44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4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4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648"/>
        </w:trPr>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gridSpan w:val="3"/>
          </w:tcPr>
          <w:p>
            <w:pPr>
              <w:ind w:left="4640"/>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October 1, 2019</w:t>
      </w:r>
      <w:r>
        <w:rPr>
          <w:sz w:val="20"/>
          <w:szCs w:val="20"/>
          <w:color w:val="auto"/>
        </w:rPr>
        <w:tab/>
      </w:r>
      <w:r>
        <w:rPr>
          <w:rFonts w:ascii="Arial" w:cs="Arial" w:eastAsia="Arial" w:hAnsi="Arial"/>
          <w:sz w:val="17"/>
          <w:szCs w:val="17"/>
          <w:color w:val="auto"/>
        </w:rPr>
        <w:t>ACURA PHARMACEUTICALS, INC.</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Jones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A. Clemens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color w:val="auto"/>
        </w:rPr>
        <w:t>Exhibit 10.46</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jc w:val="both"/>
        <w:ind w:firstLine="519"/>
        <w:spacing w:after="0" w:line="279" w:lineRule="auto"/>
        <w:rPr>
          <w:sz w:val="20"/>
          <w:szCs w:val="20"/>
          <w:color w:val="auto"/>
        </w:rPr>
      </w:pPr>
      <w:r>
        <w:rPr>
          <w:rFonts w:ascii="Arial" w:cs="Arial" w:eastAsia="Arial" w:hAnsi="Arial"/>
          <w:sz w:val="17"/>
          <w:szCs w:val="17"/>
          <w:color w:val="auto"/>
        </w:rPr>
        <w:t>FOR VALUE RECEIVED, and subject to the terms and conditions set forth herein, ACURA PHARMACEUTICALS, INC., a New York corporation with offices located at 616 N. North Court, Suite 120, Palatine, Illinois (</w:t>
      </w:r>
      <w:r>
        <w:rPr>
          <w:rFonts w:ascii="Arial" w:cs="Arial" w:eastAsia="Arial" w:hAnsi="Arial"/>
          <w:sz w:val="17"/>
          <w:szCs w:val="17"/>
          <w:b w:val="1"/>
          <w:bCs w:val="1"/>
          <w:color w:val="auto"/>
        </w:rPr>
        <w:t>“Borrower”</w:t>
      </w:r>
      <w:r>
        <w:rPr>
          <w:rFonts w:ascii="Arial" w:cs="Arial" w:eastAsia="Arial" w:hAnsi="Arial"/>
          <w:sz w:val="17"/>
          <w:szCs w:val="17"/>
          <w:color w:val="auto"/>
        </w:rPr>
        <w:t xml:space="preserve">), hereby unconditionally promises to pay to the order of John Schutte c/o MainPointe Pharmaceuticals, LLC, 333 E. Main Street, Louisville, KY 40202 or his assigns (the </w:t>
      </w:r>
      <w:r>
        <w:rPr>
          <w:rFonts w:ascii="Arial" w:cs="Arial" w:eastAsia="Arial" w:hAnsi="Arial"/>
          <w:sz w:val="17"/>
          <w:szCs w:val="17"/>
          <w:b w:val="1"/>
          <w:bCs w:val="1"/>
          <w:color w:val="auto"/>
        </w:rPr>
        <w:t>“Noteholder”</w:t>
      </w:r>
      <w:r>
        <w:rPr>
          <w:rFonts w:ascii="Arial" w:cs="Arial" w:eastAsia="Arial" w:hAnsi="Arial"/>
          <w:sz w:val="17"/>
          <w:szCs w:val="17"/>
          <w:color w:val="auto"/>
        </w:rPr>
        <w:t xml:space="preserve">), the principal amount of </w:t>
      </w:r>
      <w:r>
        <w:rPr>
          <w:rFonts w:ascii="Arial" w:cs="Arial" w:eastAsia="Arial" w:hAnsi="Arial"/>
          <w:sz w:val="17"/>
          <w:szCs w:val="17"/>
          <w:b w:val="1"/>
          <w:bCs w:val="1"/>
          <w:color w:val="auto"/>
        </w:rPr>
        <w:t>TWO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HUNDRED THOUSAND DOLLARS ($200,000) </w:t>
      </w:r>
      <w:r>
        <w:rPr>
          <w:rFonts w:ascii="Arial" w:cs="Arial" w:eastAsia="Arial" w:hAnsi="Arial"/>
          <w:sz w:val="17"/>
          <w:szCs w:val="17"/>
          <w:color w:val="auto"/>
        </w:rPr>
        <w:t>together with all accrued interest thereon, as provided in this Promissory Note (this "</w:t>
      </w:r>
      <w:r>
        <w:rPr>
          <w:rFonts w:ascii="Arial" w:cs="Arial" w:eastAsia="Arial" w:hAnsi="Arial"/>
          <w:sz w:val="17"/>
          <w:szCs w:val="17"/>
          <w:b w:val="1"/>
          <w:bCs w:val="1"/>
          <w:color w:val="auto"/>
        </w:rPr>
        <w:t>Note</w:t>
      </w:r>
      <w:r>
        <w:rPr>
          <w:rFonts w:ascii="Arial" w:cs="Arial" w:eastAsia="Arial" w:hAnsi="Arial"/>
          <w:sz w:val="17"/>
          <w:szCs w:val="17"/>
          <w:color w:val="auto"/>
        </w:rPr>
        <w:t>").</w:t>
      </w:r>
    </w:p>
    <w:p>
      <w:pPr>
        <w:spacing w:after="0" w:line="252" w:lineRule="exact"/>
        <w:rPr>
          <w:sz w:val="20"/>
          <w:szCs w:val="20"/>
          <w:color w:val="auto"/>
        </w:rPr>
      </w:pPr>
    </w:p>
    <w:p>
      <w:pPr>
        <w:ind w:left="1020" w:hanging="49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Unless defined elsewhere in this Note, capitalized terms used herein shall have the meanings set forth in this Section 1.</w:t>
      </w:r>
    </w:p>
    <w:p>
      <w:pPr>
        <w:spacing w:after="0" w:line="233" w:lineRule="exact"/>
        <w:rPr>
          <w:sz w:val="20"/>
          <w:szCs w:val="20"/>
          <w:color w:val="auto"/>
        </w:rPr>
      </w:pPr>
    </w:p>
    <w:p>
      <w:pPr>
        <w:jc w:val="both"/>
        <w:ind w:left="520" w:firstLine="1167"/>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as to any Person, any other Person that, directly or indirectly through one or more intermediaries, is in control of, is controlled by, or is under common control with, such Person. For purposes of this definition, "control" of a Person means the power, directly or indirectly, either to (a) vote more than 50%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51" w:lineRule="exact"/>
        <w:rPr>
          <w:sz w:val="20"/>
          <w:szCs w:val="20"/>
          <w:color w:val="auto"/>
        </w:rPr>
      </w:pPr>
    </w:p>
    <w:p>
      <w:pPr>
        <w:jc w:val="both"/>
        <w:ind w:left="520" w:firstLine="116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trust, joint venture, association, company, limited or general partnership, unincorporated organization, governmental authority or other entity.</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xml:space="preserve">" means the rate of interest per annum equal to the prime rate as reported by the </w:t>
      </w:r>
      <w:r>
        <w:rPr>
          <w:rFonts w:ascii="Arial" w:cs="Arial" w:eastAsia="Arial" w:hAnsi="Arial"/>
          <w:sz w:val="18"/>
          <w:szCs w:val="18"/>
          <w:i w:val="1"/>
          <w:iCs w:val="1"/>
          <w:color w:val="auto"/>
        </w:rPr>
        <w:t>Wall Street Journal.</w:t>
      </w:r>
    </w:p>
    <w:p>
      <w:pPr>
        <w:spacing w:after="0" w:line="225" w:lineRule="exact"/>
        <w:rPr>
          <w:sz w:val="20"/>
          <w:szCs w:val="20"/>
          <w:color w:val="auto"/>
        </w:rPr>
      </w:pPr>
    </w:p>
    <w:p>
      <w:pPr>
        <w:ind w:left="1060" w:hanging="533"/>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On the date hereof Noteholder is funding a loan of $200,000 (the “</w:t>
      </w:r>
      <w:r>
        <w:rPr>
          <w:rFonts w:ascii="Arial" w:cs="Arial" w:eastAsia="Arial" w:hAnsi="Arial"/>
          <w:sz w:val="18"/>
          <w:szCs w:val="18"/>
          <w:b w:val="1"/>
          <w:bCs w:val="1"/>
          <w:color w:val="auto"/>
        </w:rPr>
        <w:t>Loan</w:t>
      </w:r>
      <w:r>
        <w:rPr>
          <w:rFonts w:ascii="Arial" w:cs="Arial" w:eastAsia="Arial" w:hAnsi="Arial"/>
          <w:sz w:val="18"/>
          <w:szCs w:val="18"/>
          <w:color w:val="auto"/>
        </w:rPr>
        <w:t>”) to Borrower.</w:t>
      </w:r>
    </w:p>
    <w:p>
      <w:pPr>
        <w:spacing w:after="0" w:line="229" w:lineRule="exact"/>
        <w:rPr>
          <w:rFonts w:ascii="Arial" w:cs="Arial" w:eastAsia="Arial" w:hAnsi="Arial"/>
          <w:sz w:val="18"/>
          <w:szCs w:val="18"/>
          <w:color w:val="auto"/>
        </w:rPr>
      </w:pPr>
    </w:p>
    <w:p>
      <w:pPr>
        <w:ind w:left="1060" w:hanging="533"/>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Payment Dates; Optional Prepayments;</w:t>
      </w:r>
    </w:p>
    <w:p>
      <w:pPr>
        <w:spacing w:after="0" w:line="225" w:lineRule="exact"/>
        <w:rPr>
          <w:sz w:val="20"/>
          <w:szCs w:val="20"/>
          <w:color w:val="auto"/>
        </w:rPr>
      </w:pPr>
    </w:p>
    <w:p>
      <w:pPr>
        <w:jc w:val="both"/>
        <w:ind w:left="500" w:right="120" w:firstLine="51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Payment Dates</w:t>
      </w:r>
      <w:r>
        <w:rPr>
          <w:rFonts w:ascii="Arial" w:cs="Arial" w:eastAsia="Arial" w:hAnsi="Arial"/>
          <w:sz w:val="18"/>
          <w:szCs w:val="18"/>
          <w:color w:val="auto"/>
        </w:rPr>
        <w:t xml:space="preserve">. The aggregate unpaid principal amount of the Loan together with all accrued and unpaid interest thereon shall be due and payable on January 2, 2020 (the </w:t>
      </w:r>
      <w:r>
        <w:rPr>
          <w:rFonts w:ascii="Arial" w:cs="Arial" w:eastAsia="Arial" w:hAnsi="Arial"/>
          <w:sz w:val="18"/>
          <w:szCs w:val="18"/>
          <w:b w:val="1"/>
          <w:bCs w:val="1"/>
          <w:color w:val="auto"/>
        </w:rPr>
        <w:t>“Maturity Date”)</w:t>
      </w:r>
      <w:r>
        <w:rPr>
          <w:rFonts w:ascii="Arial" w:cs="Arial" w:eastAsia="Arial" w:hAnsi="Arial"/>
          <w:sz w:val="18"/>
          <w:szCs w:val="18"/>
          <w:color w:val="auto"/>
        </w:rPr>
        <w:t>.</w:t>
      </w:r>
    </w:p>
    <w:p>
      <w:pPr>
        <w:spacing w:after="0" w:line="170" w:lineRule="exact"/>
        <w:rPr>
          <w:sz w:val="20"/>
          <w:szCs w:val="20"/>
          <w:color w:val="auto"/>
        </w:rPr>
      </w:pPr>
    </w:p>
    <w:p>
      <w:pPr>
        <w:jc w:val="both"/>
        <w:ind w:left="500" w:right="120" w:firstLine="51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The Borrower may prepay the Loan in whole or in part at any time or from time to time without penalty or premium by paying the principal amount to be prepaid together with accrued interest thereon to the date of prepayment.</w:t>
      </w:r>
    </w:p>
    <w:p>
      <w:pPr>
        <w:spacing w:after="0" w:line="170" w:lineRule="exact"/>
        <w:rPr>
          <w:sz w:val="20"/>
          <w:szCs w:val="20"/>
          <w:color w:val="auto"/>
        </w:rPr>
      </w:pPr>
    </w:p>
    <w:p>
      <w:pPr>
        <w:jc w:val="both"/>
        <w:ind w:left="500" w:right="120" w:firstLine="51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Payment Mechanics</w:t>
      </w:r>
      <w:r>
        <w:rPr>
          <w:rFonts w:ascii="Arial" w:cs="Arial" w:eastAsia="Arial" w:hAnsi="Arial"/>
          <w:sz w:val="18"/>
          <w:szCs w:val="18"/>
          <w:color w:val="auto"/>
        </w:rPr>
        <w:t>. All payments of interest and principal shall be made in lawful money of the United States of America on the date on which such payment is due by wire transfer of immediately available funds to the Noteholder's account at a bank specified by the Noteholder in writing.</w:t>
      </w:r>
    </w:p>
    <w:p>
      <w:pPr>
        <w:spacing w:after="0" w:line="181" w:lineRule="exact"/>
        <w:rPr>
          <w:sz w:val="20"/>
          <w:szCs w:val="20"/>
          <w:color w:val="auto"/>
        </w:rPr>
      </w:pPr>
    </w:p>
    <w:p>
      <w:pPr>
        <w:ind w:left="520" w:right="20" w:firstLine="7"/>
        <w:spacing w:after="0" w:line="342" w:lineRule="auto"/>
        <w:tabs>
          <w:tab w:leader="none" w:pos="1087"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The outstanding principal amount of the Loan shall bear interest at a rate equal to the Prime Rate plus 2% per annum and shall accrue and be payable at the Maturity Date. All computations of interest shall be made on the basis of a 360 day year consisting of 12 months of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5" w:name="page46"/>
    <w:bookmarkEnd w:id="45"/>
    <w:p>
      <w:pPr>
        <w:ind w:left="560" w:hanging="533"/>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hereunder:</w:t>
      </w:r>
    </w:p>
    <w:p>
      <w:pPr>
        <w:spacing w:after="0" w:line="229" w:lineRule="exact"/>
        <w:rPr>
          <w:sz w:val="20"/>
          <w:szCs w:val="20"/>
          <w:color w:val="auto"/>
        </w:rPr>
      </w:pPr>
    </w:p>
    <w:p>
      <w:pPr>
        <w:jc w:val="both"/>
        <w:ind w:right="120" w:firstLine="51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Failure to Pay</w:t>
      </w:r>
      <w:r>
        <w:rPr>
          <w:rFonts w:ascii="Arial" w:cs="Arial" w:eastAsia="Arial" w:hAnsi="Arial"/>
          <w:sz w:val="18"/>
          <w:szCs w:val="18"/>
          <w:color w:val="auto"/>
        </w:rPr>
        <w:t>. The Borrower fails to pay any amount of principal of, or interest on, the Loan when due and such failure continues for 5 days after written notice to the Borrower.</w:t>
      </w:r>
    </w:p>
    <w:p>
      <w:pPr>
        <w:spacing w:after="0" w:line="170" w:lineRule="exact"/>
        <w:rPr>
          <w:sz w:val="20"/>
          <w:szCs w:val="20"/>
          <w:color w:val="auto"/>
        </w:rPr>
      </w:pPr>
    </w:p>
    <w:p>
      <w:pPr>
        <w:jc w:val="both"/>
        <w:ind w:right="100" w:firstLine="518"/>
        <w:spacing w:after="0" w:line="29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Bankruptcy</w:t>
      </w:r>
      <w:r>
        <w:rPr>
          <w:rFonts w:ascii="Arial" w:cs="Arial" w:eastAsia="Arial" w:hAnsi="Arial"/>
          <w:sz w:val="16"/>
          <w:szCs w:val="16"/>
          <w:color w:val="auto"/>
        </w:rPr>
        <w:t>. (A) The Borrower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Borrower makes a general assignment for the benefit of its creditors; or (B) there is commenced against the Borrower any case, proceeding or other action of a nature referred to in Section 5.2(A) above which (i) results in the entry of an order for relief or any such adjudication or appointment or (ii) remains undismissed, undischarged or unbonded for a period of 60 days.</w:t>
      </w:r>
    </w:p>
    <w:p>
      <w:pPr>
        <w:spacing w:after="0" w:line="167" w:lineRule="exact"/>
        <w:rPr>
          <w:sz w:val="20"/>
          <w:szCs w:val="20"/>
          <w:color w:val="auto"/>
        </w:rPr>
      </w:pPr>
    </w:p>
    <w:p>
      <w:pPr>
        <w:jc w:val="both"/>
        <w:ind w:left="20" w:firstLine="7"/>
        <w:spacing w:after="0" w:line="302" w:lineRule="auto"/>
        <w:tabs>
          <w:tab w:leader="none" w:pos="677"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Upon the occurrence of any Event of Default and at any time thereafter during the continuance of such Event of Default, the Noteholder may at its option, by written notice to the Borrower declare the entire principal amount of this Note, together with all accrued interest thereon, immediately due and payable,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 Event of Default described in Section 5.2 shall occur, the principal of and accrued interest on the Loan shall become immediately due and payable without any notice, declaration or other act on the part of the Noteholder.</w:t>
      </w:r>
    </w:p>
    <w:p>
      <w:pPr>
        <w:spacing w:after="0" w:line="154" w:lineRule="exact"/>
        <w:rPr>
          <w:rFonts w:ascii="Arial" w:cs="Arial" w:eastAsia="Arial" w:hAnsi="Arial"/>
          <w:sz w:val="16"/>
          <w:szCs w:val="16"/>
          <w:color w:val="auto"/>
        </w:rPr>
      </w:pPr>
    </w:p>
    <w:p>
      <w:pPr>
        <w:ind w:left="560" w:hanging="533"/>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Note, and any claim, controversy, dispute or cause of action (whether in contract or tort or otherwise) based upon, arising out of or relating to this Note and the transactions contemplated hereby and thereby shall be governed by the laws of the State of New York, without giving effect to conflict of law provisions.</w:t>
      </w:r>
    </w:p>
    <w:p>
      <w:pPr>
        <w:spacing w:after="0" w:line="181" w:lineRule="exact"/>
        <w:rPr>
          <w:sz w:val="20"/>
          <w:szCs w:val="20"/>
          <w:color w:val="auto"/>
        </w:rPr>
      </w:pPr>
    </w:p>
    <w:p>
      <w:pPr>
        <w:ind w:left="520"/>
        <w:spacing w:after="0"/>
        <w:tabs>
          <w:tab w:leader="none" w:pos="9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Note is non-negotiable but may be assigned or transferred by the Noteholder.</w:t>
      </w:r>
    </w:p>
    <w:p>
      <w:pPr>
        <w:spacing w:after="0" w:line="225" w:lineRule="exact"/>
        <w:rPr>
          <w:sz w:val="20"/>
          <w:szCs w:val="20"/>
          <w:color w:val="auto"/>
        </w:rPr>
      </w:pPr>
    </w:p>
    <w:p>
      <w:pPr>
        <w:jc w:val="both"/>
        <w:ind w:right="120" w:firstLine="51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Waiver of Notice</w:t>
      </w:r>
      <w:r>
        <w:rPr>
          <w:rFonts w:ascii="Arial" w:cs="Arial" w:eastAsia="Arial" w:hAnsi="Arial"/>
          <w:sz w:val="17"/>
          <w:szCs w:val="17"/>
          <w:color w:val="auto"/>
        </w:rPr>
        <w:t>. The Borrower hereby waives demand for payment, presentment for payment, protest, notice of payment, notice of dishonor, notice of nonpayment, notice of acceleration of maturity and diligence in taking any action to collect sums owing hereunder.</w:t>
      </w:r>
    </w:p>
    <w:p>
      <w:pPr>
        <w:spacing w:after="0" w:line="147" w:lineRule="exact"/>
        <w:rPr>
          <w:sz w:val="20"/>
          <w:szCs w:val="20"/>
          <w:color w:val="auto"/>
        </w:rPr>
      </w:pPr>
    </w:p>
    <w:p>
      <w:pPr>
        <w:jc w:val="both"/>
        <w:ind w:right="120" w:firstLine="518"/>
        <w:spacing w:after="0" w:line="308"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No term of this Note may be waived, modified or amended except by an instrument in writing signed the Noteholder and Borrower. Any waiver of the terms hereof shall be effective only in the specific instance and for the specific purpose given.</w:t>
      </w:r>
    </w:p>
    <w:p>
      <w:pPr>
        <w:spacing w:after="0" w:line="147" w:lineRule="exact"/>
        <w:rPr>
          <w:sz w:val="20"/>
          <w:szCs w:val="20"/>
          <w:color w:val="auto"/>
        </w:rPr>
      </w:pPr>
    </w:p>
    <w:p>
      <w:pPr>
        <w:jc w:val="both"/>
        <w:ind w:right="120" w:firstLine="518"/>
        <w:spacing w:after="0" w:line="30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No Waiver; Cumulative Remedies</w:t>
      </w:r>
      <w:r>
        <w:rPr>
          <w:rFonts w:ascii="Arial" w:cs="Arial" w:eastAsia="Arial" w:hAnsi="Arial"/>
          <w:sz w:val="16"/>
          <w:szCs w:val="16"/>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54" w:lineRule="exact"/>
        <w:rPr>
          <w:sz w:val="20"/>
          <w:szCs w:val="20"/>
          <w:color w:val="auto"/>
        </w:rPr>
      </w:pPr>
    </w:p>
    <w:p>
      <w:pPr>
        <w:jc w:val="both"/>
        <w:ind w:right="100" w:firstLine="518"/>
        <w:spacing w:after="0" w:line="255"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Security</w:t>
      </w:r>
      <w:r>
        <w:rPr>
          <w:rFonts w:ascii="Arial" w:cs="Arial" w:eastAsia="Arial" w:hAnsi="Arial"/>
          <w:sz w:val="18"/>
          <w:szCs w:val="18"/>
          <w:color w:val="auto"/>
        </w:rPr>
        <w:t>. This Note is secured. Borrower shall grant a security interest to Noteholder, execute all documents reasonably required by Noteholder and take all action reasonably necessary to secure and perfect Noteholder’s security interest in all of Borrower’s property including, but not limited to, accounts, inventory, equipment, general intangibles, intellectual property, chattel paper, investment property, instruments, documents, letter of credit rights, insurance proceeds and real estate, excluding agreements that by their terms may not be collaterally assigned and other property that may not be collaterally assigned (such as intent to use trademark applications), in each case without causing a default, termination or right of termination.</w:t>
      </w:r>
    </w:p>
    <w:p>
      <w:pPr>
        <w:spacing w:after="0" w:line="200" w:lineRule="exact"/>
        <w:rPr>
          <w:sz w:val="20"/>
          <w:szCs w:val="20"/>
          <w:color w:val="auto"/>
        </w:rPr>
      </w:pPr>
    </w:p>
    <w:p>
      <w:pPr>
        <w:spacing w:after="0" w:line="20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0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IN WITNESS WHEREOF, the Borrower has executed this Note as of March 25, 2019.</w:t>
      </w:r>
    </w:p>
    <w:p>
      <w:pPr>
        <w:spacing w:after="0" w:line="221" w:lineRule="exact"/>
        <w:rPr>
          <w:sz w:val="20"/>
          <w:szCs w:val="20"/>
          <w:color w:val="auto"/>
        </w:rPr>
      </w:pPr>
    </w:p>
    <w:p>
      <w:pPr>
        <w:jc w:val="right"/>
        <w:ind w:right="1499"/>
        <w:spacing w:after="0"/>
        <w:rPr>
          <w:sz w:val="20"/>
          <w:szCs w:val="20"/>
          <w:color w:val="auto"/>
        </w:rPr>
      </w:pPr>
      <w:r>
        <w:rPr>
          <w:rFonts w:ascii="Arial" w:cs="Arial" w:eastAsia="Arial" w:hAnsi="Arial"/>
          <w:sz w:val="18"/>
          <w:szCs w:val="18"/>
          <w:b w:val="1"/>
          <w:bCs w:val="1"/>
          <w:color w:val="auto"/>
        </w:rPr>
        <w:t>ACURA PHARMACEUTICALS, INC.</w:t>
      </w:r>
    </w:p>
    <w:p>
      <w:pPr>
        <w:spacing w:after="0" w:line="200" w:lineRule="exact"/>
        <w:rPr>
          <w:sz w:val="20"/>
          <w:szCs w:val="20"/>
          <w:color w:val="auto"/>
        </w:rPr>
      </w:pPr>
    </w:p>
    <w:p>
      <w:pPr>
        <w:spacing w:after="0" w:line="245" w:lineRule="exact"/>
        <w:rPr>
          <w:sz w:val="20"/>
          <w:szCs w:val="20"/>
          <w:color w:val="auto"/>
        </w:rPr>
      </w:pPr>
    </w:p>
    <w:p>
      <w:pPr>
        <w:ind w:left="5400"/>
        <w:spacing w:after="0"/>
        <w:tabs>
          <w:tab w:leader="none" w:pos="5860" w:val="left"/>
        </w:tabs>
        <w:rPr>
          <w:sz w:val="20"/>
          <w:szCs w:val="20"/>
          <w:color w:val="auto"/>
        </w:rPr>
      </w:pPr>
      <w:r>
        <w:rPr>
          <w:rFonts w:ascii="Arial" w:cs="Arial" w:eastAsia="Arial" w:hAnsi="Arial"/>
          <w:sz w:val="18"/>
          <w:szCs w:val="18"/>
          <w:color w:val="auto"/>
        </w:rPr>
        <w:t>By:</w:t>
        <w:tab/>
        <w:t>/s/ Peter A. Clemens</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-130810</wp:posOffset>
            </wp:positionV>
            <wp:extent cx="31813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Senior Vice President &amp; CFO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99"/>
          </w:cols>
          <w:pgMar w:left="760" w:top="909" w:right="1440" w:bottom="1440" w:gutter="0" w:footer="0" w:header="0"/>
        </w:sectPr>
      </w:pPr>
    </w:p>
    <w:bookmarkStart w:id="47" w:name="page48"/>
    <w:bookmarkEnd w:id="47"/>
    <w:p>
      <w:pPr>
        <w:jc w:val="center"/>
        <w:ind w:left="260"/>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840" w:hanging="184"/>
        <w:spacing w:after="0" w:line="264" w:lineRule="auto"/>
        <w:tabs>
          <w:tab w:leader="none" w:pos="8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840" w:hanging="184"/>
        <w:spacing w:after="0" w:line="264" w:lineRule="auto"/>
        <w:tabs>
          <w:tab w:leader="none" w:pos="8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840" w:hanging="184"/>
        <w:spacing w:after="0" w:line="308" w:lineRule="auto"/>
        <w:tabs>
          <w:tab w:leader="none" w:pos="8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840" w:right="20" w:hanging="184"/>
        <w:spacing w:after="0" w:line="308" w:lineRule="auto"/>
        <w:tabs>
          <w:tab w:leader="none" w:pos="8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980" w:right="20" w:hanging="324"/>
        <w:spacing w:after="0" w:line="342"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ind w:left="660"/>
              <w:spacing w:after="0"/>
              <w:rPr>
                <w:sz w:val="20"/>
                <w:szCs w:val="20"/>
                <w:color w:val="auto"/>
              </w:rPr>
            </w:pPr>
            <w:r>
              <w:rPr>
                <w:rFonts w:ascii="Arial" w:cs="Arial" w:eastAsia="Arial" w:hAnsi="Arial"/>
                <w:sz w:val="18"/>
                <w:szCs w:val="18"/>
                <w:color w:val="auto"/>
              </w:rPr>
              <w:t>October 1, 2019</w:t>
            </w:r>
          </w:p>
        </w:tc>
        <w:tc>
          <w:tcPr>
            <w:tcW w:w="198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37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3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37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gridSpan w:val="2"/>
          </w:tcPr>
          <w:p>
            <w:pPr>
              <w:jc w:val="right"/>
              <w:ind w:right="557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341" w:right="239" w:bottom="1440" w:gutter="0" w:footer="0" w:header="0"/>
        </w:sectPr>
      </w:pPr>
    </w:p>
    <w:bookmarkStart w:id="48" w:name="page49"/>
    <w:bookmarkEnd w:id="48"/>
    <w:p>
      <w:pPr>
        <w:jc w:val="center"/>
        <w:ind w:left="260"/>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980" w:hanging="324"/>
        <w:spacing w:after="0" w:line="342"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980" w:right="20" w:hanging="324"/>
        <w:spacing w:after="0" w:line="342"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ind w:left="660"/>
              <w:spacing w:after="0"/>
              <w:rPr>
                <w:sz w:val="20"/>
                <w:szCs w:val="20"/>
                <w:color w:val="auto"/>
              </w:rPr>
            </w:pPr>
            <w:r>
              <w:rPr>
                <w:rFonts w:ascii="Arial" w:cs="Arial" w:eastAsia="Arial" w:hAnsi="Arial"/>
                <w:sz w:val="18"/>
                <w:szCs w:val="18"/>
                <w:color w:val="auto"/>
              </w:rPr>
              <w:t>October 1, 2019</w:t>
            </w:r>
          </w:p>
        </w:tc>
        <w:tc>
          <w:tcPr>
            <w:tcW w:w="198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37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3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7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gridSpan w:val="2"/>
          </w:tcPr>
          <w:p>
            <w:pPr>
              <w:jc w:val="right"/>
              <w:ind w:right="557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34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Acura Pharmaceuticals, Inc. (the "Company") on Form 10-Q for the period ending March 31, 2019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4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ind w:left="660"/>
              <w:spacing w:after="0"/>
              <w:rPr>
                <w:sz w:val="20"/>
                <w:szCs w:val="20"/>
                <w:color w:val="auto"/>
              </w:rPr>
            </w:pPr>
            <w:r>
              <w:rPr>
                <w:rFonts w:ascii="Arial" w:cs="Arial" w:eastAsia="Arial" w:hAnsi="Arial"/>
                <w:sz w:val="18"/>
                <w:szCs w:val="18"/>
                <w:color w:val="auto"/>
              </w:rPr>
              <w:t>October 1, 2019</w:t>
            </w:r>
          </w:p>
        </w:tc>
        <w:tc>
          <w:tcPr>
            <w:tcW w:w="198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37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3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37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3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7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gridSpan w:val="2"/>
          </w:tcPr>
          <w:p>
            <w:pPr>
              <w:jc w:val="right"/>
              <w:ind w:right="5570"/>
              <w:spacing w:after="0"/>
              <w:rPr>
                <w:sz w:val="20"/>
                <w:szCs w:val="20"/>
                <w:color w:val="auto"/>
              </w:rPr>
            </w:pPr>
            <w:r>
              <w:rPr>
                <w:rFonts w:ascii="Arial" w:cs="Arial" w:eastAsia="Arial" w:hAnsi="Arial"/>
                <w:sz w:val="18"/>
                <w:szCs w:val="18"/>
                <w:color w:val="auto"/>
              </w:rPr>
              <w:t>1</w:t>
            </w:r>
          </w:p>
        </w:tc>
      </w:tr>
    </w:tbl>
    <w:p>
      <w:pPr>
        <w:spacing w:after="0" w:line="1" w:lineRule="exact"/>
        <w:rPr>
          <w:sz w:val="20"/>
          <w:szCs w:val="20"/>
          <w:color w:val="auto"/>
        </w:rPr>
      </w:pP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þ"/>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1"/>
      <w:numFmt w:val="bullet"/>
      <w:start w:val="1"/>
    </w:lvl>
  </w:abstractNum>
  <w:abstractNum w:abstractNumId="10">
    <w:nsid w:val="41A7C4C9"/>
    <w:multiLevelType w:val="hybridMultilevel"/>
    <w:lvl w:ilvl="0">
      <w:lvlJc w:val="left"/>
      <w:lvlText w:val="1"/>
      <w:numFmt w:val="bullet"/>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2"/>
    </w:lvl>
  </w:abstractNum>
  <w:abstractNum w:abstractNumId="14">
    <w:nsid w:val="519B500D"/>
    <w:multiLevelType w:val="hybridMultilevel"/>
    <w:lvl w:ilvl="0">
      <w:lvlJc w:val="left"/>
      <w:lvlText w:val="%1."/>
      <w:numFmt w:val="decimal"/>
      <w:start w:val="4"/>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1."/>
      <w:numFmt w:val="decimal"/>
      <w:start w:val="6"/>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2019-12-28T05:52:10Z</dcterms:created>
  <dcterms:modified xsi:type="dcterms:W3CDTF">2019-12-28T05:52:10Z</dcterms:modified>
</cp:coreProperties>
</file>